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Cs w:val="24"/>
        </w:rPr>
      </w:pPr>
      <w:r>
        <w:rPr>
          <w:sz w:val="24"/>
          <w:szCs w:val="24"/>
        </w:rPr>
      </w:r>
    </w:p>
    <w:p>
      <w:pPr>
        <w:pStyle w:val="Normal"/>
        <w:jc w:val="center"/>
        <w:rPr>
          <w:b/>
          <w:b/>
          <w:bCs/>
          <w:sz w:val="24"/>
          <w:szCs w:val="24"/>
        </w:rPr>
      </w:pPr>
      <w:r>
        <w:rPr>
          <w:b/>
          <w:bCs/>
          <w:sz w:val="24"/>
          <w:szCs w:val="24"/>
        </w:rPr>
        <w:t>TERMO DE REFERÊNCIA</w:t>
      </w:r>
    </w:p>
    <w:p>
      <w:pPr>
        <w:pStyle w:val="Normal"/>
        <w:jc w:val="center"/>
        <w:rPr>
          <w:sz w:val="24"/>
          <w:szCs w:val="24"/>
        </w:rPr>
      </w:pPr>
      <w:r>
        <w:rPr>
          <w:sz w:val="24"/>
          <w:szCs w:val="24"/>
        </w:rPr>
      </w:r>
    </w:p>
    <w:p>
      <w:pPr>
        <w:pStyle w:val="Normal"/>
        <w:jc w:val="center"/>
        <w:rPr>
          <w:sz w:val="24"/>
          <w:szCs w:val="24"/>
        </w:rPr>
      </w:pPr>
      <w:r>
        <w:rPr>
          <w:sz w:val="24"/>
          <w:szCs w:val="24"/>
        </w:rPr>
        <w:t>PROCESSO ADMINISTRATIVO Nº 220/2025</w:t>
      </w:r>
    </w:p>
    <w:p>
      <w:pPr>
        <w:pStyle w:val="Normal"/>
        <w:jc w:val="both"/>
        <w:rPr>
          <w:sz w:val="24"/>
          <w:szCs w:val="24"/>
        </w:rPr>
      </w:pPr>
      <w:r>
        <w:rPr>
          <w:sz w:val="24"/>
          <w:szCs w:val="24"/>
        </w:rPr>
      </w:r>
    </w:p>
    <w:p>
      <w:pPr>
        <w:pStyle w:val="Normal"/>
        <w:jc w:val="both"/>
        <w:rPr>
          <w:sz w:val="24"/>
          <w:szCs w:val="24"/>
        </w:rPr>
      </w:pPr>
      <w:r>
        <w:rPr>
          <w:b/>
          <w:bCs/>
          <w:sz w:val="24"/>
          <w:szCs w:val="24"/>
        </w:rPr>
        <w:t>Necessidade da Administração:</w:t>
      </w:r>
      <w:r>
        <w:rPr>
          <w:sz w:val="24"/>
          <w:szCs w:val="24"/>
        </w:rPr>
        <w:t xml:space="preserve"> Aquisição de materiais para o </w:t>
      </w:r>
      <w:r>
        <w:rPr>
          <w:sz w:val="24"/>
          <w:szCs w:val="24"/>
        </w:rPr>
        <w:t>setor de enfermagem man</w:t>
      </w:r>
      <w:r>
        <w:rPr>
          <w:sz w:val="24"/>
          <w:szCs w:val="24"/>
        </w:rPr>
        <w:t xml:space="preserve">dar amostras ao laboratório do estado </w:t>
      </w:r>
      <w:r>
        <w:rPr>
          <w:sz w:val="24"/>
          <w:szCs w:val="24"/>
        </w:rPr>
        <w:t xml:space="preserve">(Lacen) </w:t>
      </w:r>
      <w:r>
        <w:rPr>
          <w:sz w:val="24"/>
          <w:szCs w:val="24"/>
        </w:rPr>
        <w:t>conforme padronização solicitada pelo governo estadual.</w:t>
      </w:r>
    </w:p>
    <w:p>
      <w:pPr>
        <w:pStyle w:val="Normal"/>
        <w:jc w:val="both"/>
        <w:rPr>
          <w:sz w:val="24"/>
          <w:szCs w:val="24"/>
        </w:rPr>
      </w:pPr>
      <w:r>
        <w:rPr>
          <w:sz w:val="24"/>
          <w:szCs w:val="24"/>
        </w:rPr>
      </w:r>
    </w:p>
    <w:p>
      <w:pPr>
        <w:pStyle w:val="Normal"/>
        <w:jc w:val="both"/>
        <w:rPr>
          <w:b/>
          <w:b/>
          <w:bCs/>
          <w:sz w:val="24"/>
          <w:szCs w:val="24"/>
        </w:rPr>
      </w:pPr>
      <w:r>
        <w:rPr>
          <w:b/>
          <w:bCs/>
          <w:sz w:val="24"/>
          <w:szCs w:val="24"/>
        </w:rPr>
        <w:t>1. DEFINIÇÃO DO OBJETO</w:t>
      </w:r>
    </w:p>
    <w:p>
      <w:pPr>
        <w:pStyle w:val="Normal"/>
        <w:jc w:val="both"/>
        <w:rPr>
          <w:sz w:val="24"/>
          <w:szCs w:val="24"/>
        </w:rPr>
      </w:pPr>
      <w:r>
        <w:rPr>
          <w:sz w:val="24"/>
          <w:szCs w:val="24"/>
        </w:rPr>
        <w:tab/>
        <w:t xml:space="preserve">O presente termo tem por objeto: Aquisição de materiais para </w:t>
      </w:r>
      <w:r>
        <w:rPr>
          <w:sz w:val="24"/>
          <w:szCs w:val="24"/>
        </w:rPr>
        <w:t>setor de enfermagem man</w:t>
      </w:r>
      <w:r>
        <w:rPr>
          <w:sz w:val="24"/>
          <w:szCs w:val="24"/>
        </w:rPr>
        <w:t xml:space="preserve">dar amostras ao laboratório do estado </w:t>
      </w:r>
      <w:r>
        <w:rPr>
          <w:sz w:val="24"/>
          <w:szCs w:val="24"/>
        </w:rPr>
        <w:t xml:space="preserve">(Lacen) </w:t>
      </w:r>
      <w:r>
        <w:rPr>
          <w:sz w:val="24"/>
          <w:szCs w:val="24"/>
        </w:rPr>
        <w:t>conforme padronização solicitada pelo governo estadual.</w:t>
      </w:r>
    </w:p>
    <w:p>
      <w:pPr>
        <w:pStyle w:val="Normal"/>
        <w:jc w:val="both"/>
        <w:rPr>
          <w:sz w:val="24"/>
          <w:szCs w:val="24"/>
        </w:rPr>
      </w:pPr>
      <w:r>
        <w:rPr>
          <w:sz w:val="24"/>
          <w:szCs w:val="24"/>
        </w:rPr>
        <w:tab/>
        <w:t>Os bens/serviços objeto da contratação pretendida possuem as seguintes especificações:</w:t>
      </w:r>
    </w:p>
    <w:tbl>
      <w:tblPr>
        <w:tblW w:w="8640" w:type="dxa"/>
        <w:jc w:val="left"/>
        <w:tblInd w:w="55" w:type="dxa"/>
        <w:tblCellMar>
          <w:top w:w="55" w:type="dxa"/>
          <w:left w:w="55" w:type="dxa"/>
          <w:bottom w:w="55" w:type="dxa"/>
          <w:right w:w="55" w:type="dxa"/>
        </w:tblCellMar>
      </w:tblPr>
      <w:tblGrid>
        <w:gridCol w:w="6524"/>
        <w:gridCol w:w="2116"/>
      </w:tblGrid>
      <w:tr>
        <w:trPr/>
        <w:tc>
          <w:tcPr>
            <w:tcW w:w="6524" w:type="dxa"/>
            <w:tcBorders>
              <w:top w:val="single" w:sz="2" w:space="0" w:color="000000"/>
              <w:left w:val="single" w:sz="2" w:space="0" w:color="000000"/>
              <w:bottom w:val="single" w:sz="2" w:space="0" w:color="000000"/>
            </w:tcBorders>
          </w:tcPr>
          <w:p>
            <w:pPr>
              <w:pStyle w:val="Contedodatabela"/>
              <w:jc w:val="center"/>
              <w:rPr>
                <w:sz w:val="24"/>
                <w:szCs w:val="24"/>
              </w:rPr>
            </w:pPr>
            <w:r>
              <w:rPr>
                <w:sz w:val="24"/>
                <w:szCs w:val="24"/>
              </w:rPr>
              <w:t>Descrição</w:t>
            </w:r>
          </w:p>
        </w:tc>
        <w:tc>
          <w:tcPr>
            <w:tcW w:w="2116" w:type="dxa"/>
            <w:tcBorders>
              <w:top w:val="single" w:sz="2" w:space="0" w:color="000000"/>
              <w:left w:val="single" w:sz="2" w:space="0" w:color="000000"/>
              <w:bottom w:val="single" w:sz="2" w:space="0" w:color="000000"/>
              <w:right w:val="single" w:sz="2" w:space="0" w:color="000000"/>
            </w:tcBorders>
          </w:tcPr>
          <w:p>
            <w:pPr>
              <w:pStyle w:val="Contedodatabela"/>
              <w:jc w:val="center"/>
              <w:rPr>
                <w:sz w:val="24"/>
                <w:szCs w:val="24"/>
              </w:rPr>
            </w:pPr>
            <w:r>
              <w:rPr>
                <w:sz w:val="24"/>
                <w:szCs w:val="24"/>
              </w:rPr>
              <w:t>Quantidade</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Leitor de código de barras de mão com laser de diodo 650 NM + - 10 NM, interface USB, peso de 200g, alimentação de 5 volts + - 10% a 130 MA, compatível com todos os códigos de barra padrão, velocidade de leitura min. de 100 linhas de varredura, garantia min. de 12 meses. Deve vir com pedestal com peso menor do que 200g.</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Impressora térmica com velocidade de impressão máxima de 4"/12 mm por segundo, memória 8 mbFLASH e 8 mb SDRAM; interface de comunicação serial, USB e paralela, alimentação de 100-240 VAC, 50-60 hz, garantia de 90 dias conforme previsão legalmais de 12 meses. Os métodos de impressão devem ser: transferência térmica e térmica direta, impressão em código de barra.</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Etiqueta autoadesiva feita de papel couchê, acabamento fosco, gramatura 20g, cor branca, comprimento de 55,00 mm de altura e de 27 mm, com tratamento para impressão de código de barra.</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1.000,0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Fita ribbon feita de cera preta, comprimento de 74,00 m e altura de 110,00 mm.</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1,0</w:t>
            </w:r>
          </w:p>
        </w:tc>
      </w:tr>
    </w:tbl>
    <w:p>
      <w:pPr>
        <w:pStyle w:val="Normal"/>
        <w:jc w:val="both"/>
        <w:rPr>
          <w:sz w:val="24"/>
          <w:szCs w:val="24"/>
        </w:rPr>
      </w:pPr>
      <w:r>
        <w:rPr>
          <w:sz w:val="24"/>
          <w:szCs w:val="24"/>
        </w:rPr>
      </w:r>
    </w:p>
    <w:p>
      <w:pPr>
        <w:pStyle w:val="Normal"/>
        <w:jc w:val="both"/>
        <w:rPr>
          <w:sz w:val="24"/>
          <w:szCs w:val="24"/>
        </w:rPr>
      </w:pPr>
      <w:r>
        <w:rPr>
          <w:sz w:val="24"/>
          <w:szCs w:val="24"/>
        </w:rPr>
        <w:tab/>
        <w:t>O presente Termo de Referência parte da Solicitação Interna nº: 220/2025.</w:t>
      </w:r>
    </w:p>
    <w:p>
      <w:pPr>
        <w:pStyle w:val="Normal"/>
        <w:jc w:val="both"/>
        <w:rPr>
          <w:sz w:val="24"/>
          <w:szCs w:val="24"/>
        </w:rPr>
      </w:pPr>
      <w:r>
        <w:rPr>
          <w:sz w:val="24"/>
          <w:szCs w:val="24"/>
        </w:rPr>
      </w:r>
    </w:p>
    <w:p>
      <w:pPr>
        <w:pStyle w:val="Normal"/>
        <w:jc w:val="both"/>
        <w:rPr>
          <w:b/>
          <w:b/>
          <w:bCs/>
          <w:sz w:val="24"/>
          <w:szCs w:val="24"/>
        </w:rPr>
      </w:pPr>
      <w:r>
        <w:rPr>
          <w:b/>
          <w:bCs/>
          <w:sz w:val="24"/>
          <w:szCs w:val="24"/>
        </w:rPr>
        <w:t>2. FUNDAMENTAÇÃO DA CONTRATAÇÃO</w:t>
      </w:r>
    </w:p>
    <w:p>
      <w:pPr>
        <w:pStyle w:val="Normal"/>
        <w:jc w:val="both"/>
        <w:rPr>
          <w:sz w:val="24"/>
          <w:szCs w:val="24"/>
        </w:rPr>
      </w:pPr>
      <w:r>
        <w:rPr>
          <w:sz w:val="24"/>
          <w:szCs w:val="24"/>
        </w:rPr>
        <w:tab/>
        <w:t xml:space="preserve">Conforme o estudo realizado chegou-se a necessidade de contratação dos seguintes objetos: </w:t>
      </w:r>
    </w:p>
    <w:tbl>
      <w:tblPr>
        <w:tblW w:w="8640" w:type="dxa"/>
        <w:jc w:val="left"/>
        <w:tblInd w:w="55" w:type="dxa"/>
        <w:tblCellMar>
          <w:top w:w="55" w:type="dxa"/>
          <w:left w:w="55" w:type="dxa"/>
          <w:bottom w:w="55" w:type="dxa"/>
          <w:right w:w="55" w:type="dxa"/>
        </w:tblCellMar>
      </w:tblPr>
      <w:tblGrid>
        <w:gridCol w:w="6524"/>
        <w:gridCol w:w="2116"/>
      </w:tblGrid>
      <w:tr>
        <w:trPr/>
        <w:tc>
          <w:tcPr>
            <w:tcW w:w="6524" w:type="dxa"/>
            <w:tcBorders>
              <w:top w:val="single" w:sz="2" w:space="0" w:color="000000"/>
              <w:left w:val="single" w:sz="2" w:space="0" w:color="000000"/>
              <w:bottom w:val="single" w:sz="2" w:space="0" w:color="000000"/>
            </w:tcBorders>
          </w:tcPr>
          <w:p>
            <w:pPr>
              <w:pStyle w:val="Contedodatabela"/>
              <w:jc w:val="center"/>
              <w:rPr>
                <w:sz w:val="24"/>
                <w:szCs w:val="24"/>
              </w:rPr>
            </w:pPr>
            <w:r>
              <w:rPr>
                <w:sz w:val="24"/>
                <w:szCs w:val="24"/>
              </w:rPr>
              <w:t>Descrição</w:t>
            </w:r>
          </w:p>
        </w:tc>
        <w:tc>
          <w:tcPr>
            <w:tcW w:w="2116" w:type="dxa"/>
            <w:tcBorders>
              <w:top w:val="single" w:sz="2" w:space="0" w:color="000000"/>
              <w:left w:val="single" w:sz="2" w:space="0" w:color="000000"/>
              <w:bottom w:val="single" w:sz="2" w:space="0" w:color="000000"/>
              <w:right w:val="single" w:sz="2" w:space="0" w:color="000000"/>
            </w:tcBorders>
          </w:tcPr>
          <w:p>
            <w:pPr>
              <w:pStyle w:val="Contedodatabela"/>
              <w:jc w:val="center"/>
              <w:rPr>
                <w:sz w:val="24"/>
                <w:szCs w:val="24"/>
              </w:rPr>
            </w:pPr>
            <w:r>
              <w:rPr>
                <w:sz w:val="24"/>
                <w:szCs w:val="24"/>
              </w:rPr>
              <w:t>Quantidade</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Leitor de código de barras de mão com laser de diodo 650 NM + - 10 NM, interface USB, peso de 200g, alimentação de 5 volts + - 10% a 130 MA, compatível com todos os códigos de barra padrão, velocidade de leitura min. de 100 linhas de varredura, garantia min. de 12 meses. Deve vir com pedestal com peso menor do que 200g.</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Impressora térmica com velocidade de impressão máxima de 4"/12 mm por segundo, memória 8 mbFLASH e 8 mb SDRAM; interface de comunicação serial, USB e paralela, alimentação de 100-240 VAC, 50-60 hz, garantia de 90 dias conforme previsão legalmais de 12 meses. Os métodos de impressão devem ser: transferência térmica e térmica direta, impressão em código de barra.</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Etiqueta autoadesiva feita de papel couchê, acabamento fosco, gramatura 20g, cor branca, comprimento de 55,00 mm de altura e de 27 mm, com tratamento para impressão de código de barra.</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1.000,0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Fita ribbon feita de cera preta, comprimento de 74,00 m e altura de 110,00 mm.</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1,0</w:t>
            </w:r>
          </w:p>
        </w:tc>
      </w:tr>
    </w:tbl>
    <w:p>
      <w:pPr>
        <w:pStyle w:val="Standard"/>
        <w:jc w:val="both"/>
        <w:rPr>
          <w:rFonts w:ascii="Times New Roman" w:hAnsi="Times New Roman"/>
          <w:color w:val="C9211E"/>
          <w:sz w:val="22"/>
          <w:szCs w:val="22"/>
        </w:rPr>
      </w:pPr>
      <w:r>
        <w:rPr>
          <w:rFonts w:ascii="Times New Roman" w:hAnsi="Times New Roman"/>
          <w:color w:val="C9211E"/>
          <w:sz w:val="22"/>
          <w:szCs w:val="22"/>
        </w:rPr>
        <w:tab/>
      </w:r>
    </w:p>
    <w:p>
      <w:pPr>
        <w:pStyle w:val="Standard"/>
        <w:jc w:val="both"/>
        <w:rPr>
          <w:sz w:val="22"/>
          <w:szCs w:val="22"/>
        </w:rPr>
      </w:pPr>
      <w:r>
        <w:rPr>
          <w:rFonts w:ascii="Times New Roman" w:hAnsi="Times New Roman"/>
          <w:color w:val="C9211E"/>
          <w:sz w:val="22"/>
          <w:szCs w:val="22"/>
        </w:rPr>
        <w:tab/>
      </w:r>
    </w:p>
    <w:p>
      <w:pPr>
        <w:pStyle w:val="Normal"/>
        <w:jc w:val="both"/>
        <w:rPr>
          <w:b/>
          <w:b/>
          <w:bCs/>
          <w:sz w:val="24"/>
          <w:szCs w:val="24"/>
        </w:rPr>
      </w:pPr>
      <w:r>
        <w:rPr>
          <w:b/>
          <w:bCs/>
          <w:sz w:val="24"/>
          <w:szCs w:val="24"/>
        </w:rPr>
        <w:t>3. DESCRIÇÃO DA SOLUÇÃO COMO UM TODO</w:t>
      </w:r>
    </w:p>
    <w:p>
      <w:pPr>
        <w:pStyle w:val="Normal"/>
        <w:jc w:val="both"/>
        <w:rPr>
          <w:sz w:val="24"/>
          <w:szCs w:val="24"/>
        </w:rPr>
      </w:pPr>
      <w:r>
        <w:rPr>
          <w:sz w:val="24"/>
          <w:szCs w:val="24"/>
        </w:rPr>
        <w:tab/>
        <w:t xml:space="preserve">A solução proposta é a realização de um (a)  Dispensa por Limite, objetivando a contratação de empresa para Aquisição de materiais para </w:t>
      </w:r>
      <w:r>
        <w:rPr>
          <w:sz w:val="24"/>
          <w:szCs w:val="24"/>
        </w:rPr>
        <w:t>setor de enfermagem man</w:t>
      </w:r>
      <w:r>
        <w:rPr>
          <w:sz w:val="24"/>
          <w:szCs w:val="24"/>
        </w:rPr>
        <w:t xml:space="preserve">dar amostras ao laboratório do estado </w:t>
      </w:r>
      <w:r>
        <w:rPr>
          <w:sz w:val="24"/>
          <w:szCs w:val="24"/>
        </w:rPr>
        <w:t xml:space="preserve">(Lacen) </w:t>
      </w:r>
      <w:r>
        <w:rPr>
          <w:sz w:val="24"/>
          <w:szCs w:val="24"/>
        </w:rPr>
        <w:t>conforme padronização solicitada pelo governo estadual.</w:t>
      </w:r>
    </w:p>
    <w:p>
      <w:pPr>
        <w:pStyle w:val="Normal"/>
        <w:jc w:val="both"/>
        <w:rPr>
          <w:sz w:val="24"/>
          <w:szCs w:val="24"/>
        </w:rPr>
      </w:pPr>
      <w:r>
        <w:rPr>
          <w:sz w:val="24"/>
          <w:szCs w:val="24"/>
        </w:rPr>
        <w:tab/>
        <w:t>Complementarmente tem-se as seguintes informações: Itens.</w:t>
      </w:r>
    </w:p>
    <w:p>
      <w:pPr>
        <w:pStyle w:val="Normal"/>
        <w:jc w:val="both"/>
        <w:rPr>
          <w:sz w:val="24"/>
          <w:szCs w:val="24"/>
        </w:rPr>
      </w:pPr>
      <w:r>
        <w:rPr>
          <w:sz w:val="24"/>
          <w:szCs w:val="24"/>
        </w:rPr>
      </w:r>
    </w:p>
    <w:p>
      <w:pPr>
        <w:pStyle w:val="Normal"/>
        <w:jc w:val="both"/>
        <w:rPr>
          <w:b/>
          <w:b/>
          <w:bCs/>
          <w:sz w:val="24"/>
          <w:szCs w:val="24"/>
        </w:rPr>
      </w:pPr>
      <w:r>
        <w:rPr>
          <w:b/>
          <w:bCs/>
          <w:sz w:val="24"/>
          <w:szCs w:val="24"/>
        </w:rPr>
        <w:t>4. REQUISITOS DA CONTRATAÇÃO</w:t>
      </w:r>
    </w:p>
    <w:p>
      <w:pPr>
        <w:pStyle w:val="Normal"/>
        <w:jc w:val="both"/>
        <w:rPr>
          <w:sz w:val="24"/>
          <w:szCs w:val="24"/>
        </w:rPr>
      </w:pPr>
      <w:r>
        <w:rPr>
          <w:sz w:val="24"/>
          <w:szCs w:val="24"/>
        </w:rPr>
        <w:tab/>
        <w:t>Os bens/serviços ora licitados têm natureza de bens/serviços comuns, tendo em vista que seus padrões de desempenho e qualidade podem ser objetivamente definidos pelo edital, por meio de especificações usuais de mercado, nos termos do art. 6º, inciso XIII, da Lei Federal nº 14.133/2021.</w:t>
      </w:r>
    </w:p>
    <w:p>
      <w:pPr>
        <w:pStyle w:val="Normal"/>
        <w:jc w:val="both"/>
        <w:rPr>
          <w:sz w:val="24"/>
          <w:szCs w:val="24"/>
        </w:rPr>
      </w:pPr>
      <w:r>
        <w:rPr>
          <w:sz w:val="24"/>
          <w:szCs w:val="24"/>
        </w:rPr>
        <w:tab/>
        <w:t>Os produtos/serviços deverão ser entregues:  , com o pagamento previsto para ser efetuado  28 dias.</w:t>
      </w:r>
    </w:p>
    <w:p>
      <w:pPr>
        <w:pStyle w:val="Normal"/>
        <w:jc w:val="both"/>
        <w:rPr>
          <w:sz w:val="24"/>
          <w:szCs w:val="24"/>
        </w:rPr>
      </w:pPr>
      <w:r>
        <w:rPr>
          <w:sz w:val="24"/>
          <w:szCs w:val="24"/>
        </w:rPr>
        <w:tab/>
        <w:t>A contratação será realizada por meio de Dispensa por Limite, com critério de julgamento por Não se Aplica, nos termos da Lei Federal nº 14.133/2021.</w:t>
      </w:r>
    </w:p>
    <w:p>
      <w:pPr>
        <w:pStyle w:val="Normal"/>
        <w:jc w:val="both"/>
        <w:rPr>
          <w:sz w:val="24"/>
          <w:szCs w:val="24"/>
        </w:rPr>
      </w:pPr>
      <w:r>
        <w:rPr>
          <w:sz w:val="24"/>
          <w:szCs w:val="24"/>
        </w:rPr>
        <w:tab/>
        <w:t>Para fornecimento/prestação dos serviços pretendidos os eventuais interessados deverão comprovar que atuam em ramo de atividade compatível com o objeto da licitação</w:t>
      </w:r>
      <w:r>
        <w:rPr>
          <w:sz w:val="24"/>
          <w:szCs w:val="24"/>
        </w:rPr>
        <w:t>:</w:t>
      </w:r>
      <w:r>
        <w:rPr>
          <w:sz w:val="24"/>
          <w:szCs w:val="24"/>
        </w:rPr>
        <w:t xml:space="preserve"> Aquisição de materiais para </w:t>
      </w:r>
      <w:r>
        <w:rPr>
          <w:sz w:val="24"/>
          <w:szCs w:val="24"/>
        </w:rPr>
        <w:t>setor de enfermagem man</w:t>
      </w:r>
      <w:r>
        <w:rPr>
          <w:sz w:val="24"/>
          <w:szCs w:val="24"/>
        </w:rPr>
        <w:t xml:space="preserve">dar amostras ao laboratório do estado </w:t>
      </w:r>
      <w:r>
        <w:rPr>
          <w:sz w:val="24"/>
          <w:szCs w:val="24"/>
        </w:rPr>
        <w:t xml:space="preserve">(Lacen) </w:t>
      </w:r>
      <w:r>
        <w:rPr>
          <w:sz w:val="24"/>
          <w:szCs w:val="24"/>
        </w:rPr>
        <w:t>conforme padronização solicitada pelo governo estadual.</w:t>
      </w:r>
    </w:p>
    <w:p>
      <w:pPr>
        <w:pStyle w:val="Normal"/>
        <w:jc w:val="both"/>
        <w:rPr>
          <w:sz w:val="24"/>
          <w:szCs w:val="24"/>
        </w:rPr>
      </w:pPr>
      <w:r>
        <w:rPr>
          <w:sz w:val="24"/>
          <w:szCs w:val="24"/>
        </w:rPr>
      </w:r>
    </w:p>
    <w:p>
      <w:pPr>
        <w:pStyle w:val="Normal"/>
        <w:jc w:val="both"/>
        <w:rPr>
          <w:b/>
          <w:b/>
          <w:bCs/>
          <w:sz w:val="24"/>
          <w:szCs w:val="24"/>
        </w:rPr>
      </w:pPr>
      <w:r>
        <w:rPr>
          <w:b/>
          <w:bCs/>
          <w:sz w:val="24"/>
          <w:szCs w:val="24"/>
        </w:rPr>
        <w:t>5. MODELO DE EXECUÇÃO DO OBJETO</w:t>
      </w:r>
    </w:p>
    <w:p>
      <w:pPr>
        <w:pStyle w:val="Normal"/>
        <w:jc w:val="both"/>
        <w:rPr>
          <w:sz w:val="24"/>
          <w:szCs w:val="24"/>
        </w:rPr>
      </w:pPr>
      <w:r>
        <w:rPr>
          <w:sz w:val="24"/>
          <w:szCs w:val="24"/>
        </w:rPr>
        <w:tab/>
        <w:t xml:space="preserve">Os produtos/serviços deverão ser entregues  </w:t>
      </w:r>
      <w:r>
        <w:rPr>
          <w:b/>
          <w:bCs/>
          <w:sz w:val="24"/>
          <w:szCs w:val="24"/>
        </w:rPr>
        <w:t>.</w:t>
      </w:r>
    </w:p>
    <w:p>
      <w:pPr>
        <w:pStyle w:val="Normal"/>
        <w:jc w:val="both"/>
        <w:rPr>
          <w:sz w:val="24"/>
          <w:szCs w:val="24"/>
        </w:rPr>
      </w:pPr>
      <w:r>
        <w:rPr>
          <w:sz w:val="24"/>
          <w:szCs w:val="24"/>
        </w:rPr>
      </w:r>
    </w:p>
    <w:p>
      <w:pPr>
        <w:pStyle w:val="Normal"/>
        <w:jc w:val="both"/>
        <w:rPr>
          <w:b/>
          <w:b/>
          <w:bCs/>
          <w:sz w:val="24"/>
          <w:szCs w:val="24"/>
        </w:rPr>
      </w:pPr>
      <w:r>
        <w:rPr>
          <w:b/>
          <w:bCs/>
          <w:sz w:val="24"/>
          <w:szCs w:val="24"/>
        </w:rPr>
        <w:t>6. MODELO DE GESTÃO DO CONTRATO</w:t>
      </w:r>
    </w:p>
    <w:p>
      <w:pPr>
        <w:pStyle w:val="Normal"/>
        <w:jc w:val="both"/>
        <w:rPr/>
      </w:pPr>
      <w:r>
        <w:rPr>
          <w:sz w:val="24"/>
          <w:szCs w:val="24"/>
        </w:rPr>
        <w:tab/>
        <w:t xml:space="preserve">A gestão e a fiscalização do objeto contratado serão realizadas </w:t>
      </w:r>
      <w:r>
        <w:rPr>
          <w:sz w:val="24"/>
          <w:szCs w:val="24"/>
        </w:rPr>
        <w:t xml:space="preserve">pela </w:t>
      </w:r>
      <w:r>
        <w:rPr>
          <w:sz w:val="24"/>
          <w:szCs w:val="24"/>
        </w:rPr>
        <w:t xml:space="preserve">Secretaria </w:t>
      </w:r>
      <w:r>
        <w:rPr>
          <w:sz w:val="24"/>
          <w:szCs w:val="24"/>
        </w:rPr>
        <w:t>Municipal de Saúde</w:t>
      </w:r>
      <w:r>
        <w:rPr>
          <w:sz w:val="24"/>
          <w:szCs w:val="24"/>
        </w:rPr>
        <w:t>.</w:t>
      </w:r>
    </w:p>
    <w:p>
      <w:pPr>
        <w:pStyle w:val="Normal"/>
        <w:jc w:val="both"/>
        <w:rPr>
          <w:sz w:val="24"/>
          <w:szCs w:val="24"/>
        </w:rPr>
      </w:pPr>
      <w:r>
        <w:rPr>
          <w:sz w:val="24"/>
          <w:szCs w:val="24"/>
        </w:rPr>
      </w:r>
    </w:p>
    <w:p>
      <w:pPr>
        <w:pStyle w:val="Normal"/>
        <w:jc w:val="both"/>
        <w:rPr>
          <w:b/>
          <w:b/>
          <w:bCs/>
          <w:sz w:val="24"/>
          <w:szCs w:val="24"/>
        </w:rPr>
      </w:pPr>
      <w:r>
        <w:rPr>
          <w:b/>
          <w:bCs/>
          <w:sz w:val="24"/>
          <w:szCs w:val="24"/>
        </w:rPr>
        <w:t>7. CRITÉRIOS DE MEDIÇÃO E DE PAGAMENTO</w:t>
      </w:r>
    </w:p>
    <w:p>
      <w:pPr>
        <w:pStyle w:val="Normal"/>
        <w:jc w:val="both"/>
        <w:rPr>
          <w:sz w:val="24"/>
          <w:szCs w:val="24"/>
        </w:rPr>
      </w:pPr>
      <w:r>
        <w:rPr>
          <w:sz w:val="24"/>
          <w:szCs w:val="24"/>
        </w:rPr>
        <w:tab/>
        <w:t>O pagamento é previsto para ser efetuado 28 dias, mediante apresentação da Nota Fiscal da Empresa e após a devida conferência e consequente liquidação/ateste de que os produtos/serviços foram entregues/prestados de forma adequada.</w:t>
      </w:r>
    </w:p>
    <w:p>
      <w:pPr>
        <w:pStyle w:val="Normal"/>
        <w:jc w:val="both"/>
        <w:rPr>
          <w:sz w:val="24"/>
          <w:szCs w:val="24"/>
        </w:rPr>
      </w:pPr>
      <w:r>
        <w:rPr>
          <w:sz w:val="24"/>
          <w:szCs w:val="24"/>
        </w:rPr>
      </w:r>
    </w:p>
    <w:p>
      <w:pPr>
        <w:pStyle w:val="Normal"/>
        <w:jc w:val="both"/>
        <w:rPr>
          <w:b/>
          <w:b/>
          <w:bCs/>
          <w:sz w:val="24"/>
          <w:szCs w:val="24"/>
        </w:rPr>
      </w:pPr>
      <w:r>
        <w:rPr>
          <w:b/>
          <w:bCs/>
          <w:sz w:val="24"/>
          <w:szCs w:val="24"/>
        </w:rPr>
        <w:t>8. FORMA E CRITÉRIOS DE SELEÇÃO DO FORNECEDOR/PRESTADOR DE SERVIÇO</w:t>
      </w:r>
    </w:p>
    <w:p>
      <w:pPr>
        <w:pStyle w:val="Normal"/>
        <w:jc w:val="both"/>
        <w:rPr>
          <w:sz w:val="24"/>
          <w:szCs w:val="24"/>
        </w:rPr>
      </w:pPr>
      <w:r>
        <w:rPr>
          <w:sz w:val="24"/>
          <w:szCs w:val="24"/>
        </w:rPr>
        <w:tab/>
        <w:t>Conforme disposto no item 4, o futuro contratado será selecionado mediante processo de Dispensa por Limite.</w:t>
      </w:r>
    </w:p>
    <w:p>
      <w:pPr>
        <w:pStyle w:val="Normal"/>
        <w:jc w:val="both"/>
        <w:rPr>
          <w:sz w:val="24"/>
          <w:szCs w:val="24"/>
        </w:rPr>
      </w:pPr>
      <w:r>
        <w:rPr>
          <w:sz w:val="24"/>
          <w:szCs w:val="24"/>
        </w:rPr>
      </w:r>
    </w:p>
    <w:p>
      <w:pPr>
        <w:pStyle w:val="Normal"/>
        <w:jc w:val="both"/>
        <w:rPr>
          <w:b/>
          <w:b/>
          <w:bCs/>
          <w:sz w:val="24"/>
          <w:szCs w:val="24"/>
        </w:rPr>
      </w:pPr>
      <w:r>
        <w:rPr>
          <w:b/>
          <w:bCs/>
          <w:sz w:val="24"/>
          <w:szCs w:val="24"/>
        </w:rPr>
        <w:t>9. ESTIMATIVA DO VALOR DA CONTRATAÇÃO</w:t>
      </w:r>
    </w:p>
    <w:p>
      <w:pPr>
        <w:pStyle w:val="Normal"/>
        <w:jc w:val="both"/>
        <w:rPr>
          <w:sz w:val="24"/>
          <w:szCs w:val="24"/>
        </w:rPr>
      </w:pPr>
      <w:r>
        <w:rPr>
          <w:sz w:val="24"/>
          <w:szCs w:val="24"/>
        </w:rPr>
        <w:tab/>
        <w:t>Estima-se para a contratação almejada o valor conforme descrito abaixo:</w:t>
      </w:r>
    </w:p>
    <w:tbl>
      <w:tblPr>
        <w:tblW w:w="8640" w:type="dxa"/>
        <w:jc w:val="left"/>
        <w:tblInd w:w="55" w:type="dxa"/>
        <w:tblCellMar>
          <w:top w:w="55" w:type="dxa"/>
          <w:left w:w="55" w:type="dxa"/>
          <w:bottom w:w="55" w:type="dxa"/>
          <w:right w:w="55" w:type="dxa"/>
        </w:tblCellMar>
      </w:tblPr>
      <w:tblGrid>
        <w:gridCol w:w="3974"/>
        <w:gridCol w:w="1980"/>
        <w:gridCol w:w="1365"/>
        <w:gridCol w:w="1321"/>
      </w:tblGrid>
      <w:tr>
        <w:trPr/>
        <w:tc>
          <w:tcPr>
            <w:tcW w:w="3974" w:type="dxa"/>
            <w:tcBorders>
              <w:top w:val="single" w:sz="2" w:space="0" w:color="000000"/>
              <w:left w:val="single" w:sz="2" w:space="0" w:color="000000"/>
              <w:bottom w:val="single" w:sz="2" w:space="0" w:color="000000"/>
            </w:tcBorders>
          </w:tcPr>
          <w:p>
            <w:pPr>
              <w:pStyle w:val="Contedodatabela"/>
              <w:jc w:val="center"/>
              <w:rPr>
                <w:sz w:val="24"/>
                <w:szCs w:val="24"/>
              </w:rPr>
            </w:pPr>
            <w:r>
              <w:rPr>
                <w:sz w:val="24"/>
                <w:szCs w:val="24"/>
              </w:rPr>
              <w:t>Descrição</w:t>
            </w:r>
          </w:p>
        </w:tc>
        <w:tc>
          <w:tcPr>
            <w:tcW w:w="1980" w:type="dxa"/>
            <w:tcBorders>
              <w:top w:val="single" w:sz="2" w:space="0" w:color="000000"/>
              <w:left w:val="single" w:sz="2" w:space="0" w:color="000000"/>
              <w:bottom w:val="single" w:sz="2" w:space="0" w:color="000000"/>
            </w:tcBorders>
          </w:tcPr>
          <w:p>
            <w:pPr>
              <w:pStyle w:val="Contedodatabela"/>
              <w:jc w:val="center"/>
              <w:rPr>
                <w:sz w:val="24"/>
                <w:szCs w:val="24"/>
              </w:rPr>
            </w:pPr>
            <w:r>
              <w:rPr>
                <w:sz w:val="24"/>
                <w:szCs w:val="24"/>
              </w:rPr>
              <w:t>Quantidade</w:t>
            </w:r>
          </w:p>
        </w:tc>
        <w:tc>
          <w:tcPr>
            <w:tcW w:w="1365" w:type="dxa"/>
            <w:tcBorders>
              <w:top w:val="single" w:sz="2" w:space="0" w:color="000000"/>
              <w:left w:val="single" w:sz="2" w:space="0" w:color="000000"/>
              <w:bottom w:val="single" w:sz="2" w:space="0" w:color="000000"/>
            </w:tcBorders>
          </w:tcPr>
          <w:p>
            <w:pPr>
              <w:pStyle w:val="Contedodatabela"/>
              <w:jc w:val="center"/>
              <w:rPr>
                <w:sz w:val="24"/>
                <w:szCs w:val="24"/>
              </w:rPr>
            </w:pPr>
            <w:r>
              <w:rPr>
                <w:sz w:val="24"/>
                <w:szCs w:val="24"/>
              </w:rPr>
              <w:t>Unitário</w:t>
            </w:r>
          </w:p>
        </w:tc>
        <w:tc>
          <w:tcPr>
            <w:tcW w:w="1321" w:type="dxa"/>
            <w:tcBorders>
              <w:top w:val="single" w:sz="2" w:space="0" w:color="000000"/>
              <w:left w:val="single" w:sz="2" w:space="0" w:color="000000"/>
              <w:bottom w:val="single" w:sz="2" w:space="0" w:color="000000"/>
              <w:right w:val="single" w:sz="2" w:space="0" w:color="000000"/>
            </w:tcBorders>
          </w:tcPr>
          <w:p>
            <w:pPr>
              <w:pStyle w:val="Contedodatabela"/>
              <w:jc w:val="center"/>
              <w:rPr>
                <w:sz w:val="24"/>
                <w:szCs w:val="24"/>
              </w:rPr>
            </w:pPr>
            <w:r>
              <w:rPr>
                <w:sz w:val="24"/>
                <w:szCs w:val="24"/>
              </w:rPr>
              <w:t>Total</w:t>
            </w:r>
          </w:p>
        </w:tc>
      </w:tr>
      <w:tr>
        <w:trPr/>
        <w:tc>
          <w:tcPr>
            <w:tcW w:w="3974" w:type="dxa"/>
            <w:tcBorders>
              <w:left w:val="single" w:sz="2" w:space="0" w:color="000000"/>
              <w:bottom w:val="single" w:sz="2" w:space="0" w:color="000000"/>
            </w:tcBorders>
          </w:tcPr>
          <w:p>
            <w:pPr>
              <w:pStyle w:val="Contedodatabela"/>
              <w:jc w:val="both"/>
              <w:rPr>
                <w:sz w:val="24"/>
                <w:szCs w:val="24"/>
              </w:rPr>
            </w:pPr>
            <w:r>
              <w:rPr>
                <w:sz w:val="24"/>
                <w:szCs w:val="24"/>
              </w:rPr>
              <w:t>Leitor de código de barras de mão com laser de diodo 650 NM + - 10 NM, interface USB, peso de 200g, alimentação de 5 volts + - 10% a 130 MA, compatível com todos os códigos de barra padrão, velocidade de leitura min. de 100 linhas de varredura, garantia min. de 12 meses. Deve vir com pedestal com peso menor do que 200g.</w:t>
            </w:r>
          </w:p>
        </w:tc>
        <w:tc>
          <w:tcPr>
            <w:tcW w:w="1980" w:type="dxa"/>
            <w:tcBorders>
              <w:left w:val="single" w:sz="2" w:space="0" w:color="000000"/>
              <w:bottom w:val="single" w:sz="2" w:space="0" w:color="000000"/>
            </w:tcBorders>
          </w:tcPr>
          <w:p>
            <w:pPr>
              <w:pStyle w:val="Contedodatabela"/>
              <w:jc w:val="right"/>
              <w:rPr>
                <w:sz w:val="24"/>
                <w:szCs w:val="24"/>
              </w:rPr>
            </w:pPr>
            <w:r>
              <w:rPr>
                <w:sz w:val="24"/>
                <w:szCs w:val="24"/>
              </w:rPr>
              <w:t>1,0</w:t>
            </w:r>
          </w:p>
        </w:tc>
        <w:tc>
          <w:tcPr>
            <w:tcW w:w="1365" w:type="dxa"/>
            <w:tcBorders>
              <w:left w:val="single" w:sz="2" w:space="0" w:color="000000"/>
              <w:bottom w:val="single" w:sz="2" w:space="0" w:color="000000"/>
            </w:tcBorders>
          </w:tcPr>
          <w:p>
            <w:pPr>
              <w:pStyle w:val="Contedodatabela"/>
              <w:jc w:val="right"/>
              <w:rPr>
                <w:sz w:val="24"/>
                <w:szCs w:val="24"/>
              </w:rPr>
            </w:pPr>
            <w:r>
              <w:rPr>
                <w:sz w:val="24"/>
                <w:szCs w:val="24"/>
              </w:rPr>
              <w:t>541,37</w:t>
            </w:r>
          </w:p>
        </w:tc>
        <w:tc>
          <w:tcPr>
            <w:tcW w:w="1321"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541,37</w:t>
            </w:r>
          </w:p>
        </w:tc>
      </w:tr>
      <w:tr>
        <w:trPr/>
        <w:tc>
          <w:tcPr>
            <w:tcW w:w="3974" w:type="dxa"/>
            <w:tcBorders>
              <w:left w:val="single" w:sz="2" w:space="0" w:color="000000"/>
              <w:bottom w:val="single" w:sz="2" w:space="0" w:color="000000"/>
            </w:tcBorders>
          </w:tcPr>
          <w:p>
            <w:pPr>
              <w:pStyle w:val="Contedodatabela"/>
              <w:jc w:val="both"/>
              <w:rPr>
                <w:sz w:val="24"/>
                <w:szCs w:val="24"/>
              </w:rPr>
            </w:pPr>
            <w:r>
              <w:rPr>
                <w:sz w:val="24"/>
                <w:szCs w:val="24"/>
              </w:rPr>
              <w:t>Impressora térmica com velocidade de impressão máxima de 4"/12 mm por segundo, memória 8 mbFLASH e 8 mb SDRAM; interface de comunicação serial, USB e paralela, alimentação de 100-240 VAC, 50-60 hz, garantia de 90 dias conforme previsão legalmais de 12 meses. Os métodos de impressão devem ser: transferência térmica e térmica direta, impressão em código de barra.</w:t>
            </w:r>
          </w:p>
        </w:tc>
        <w:tc>
          <w:tcPr>
            <w:tcW w:w="1980" w:type="dxa"/>
            <w:tcBorders>
              <w:left w:val="single" w:sz="2" w:space="0" w:color="000000"/>
              <w:bottom w:val="single" w:sz="2" w:space="0" w:color="000000"/>
            </w:tcBorders>
          </w:tcPr>
          <w:p>
            <w:pPr>
              <w:pStyle w:val="Contedodatabela"/>
              <w:jc w:val="right"/>
              <w:rPr>
                <w:sz w:val="24"/>
                <w:szCs w:val="24"/>
              </w:rPr>
            </w:pPr>
            <w:r>
              <w:rPr>
                <w:sz w:val="24"/>
                <w:szCs w:val="24"/>
              </w:rPr>
              <w:t>1,0</w:t>
            </w:r>
          </w:p>
        </w:tc>
        <w:tc>
          <w:tcPr>
            <w:tcW w:w="1365" w:type="dxa"/>
            <w:tcBorders>
              <w:left w:val="single" w:sz="2" w:space="0" w:color="000000"/>
              <w:bottom w:val="single" w:sz="2" w:space="0" w:color="000000"/>
            </w:tcBorders>
          </w:tcPr>
          <w:p>
            <w:pPr>
              <w:pStyle w:val="Contedodatabela"/>
              <w:jc w:val="right"/>
              <w:rPr>
                <w:sz w:val="24"/>
                <w:szCs w:val="24"/>
              </w:rPr>
            </w:pPr>
            <w:r>
              <w:rPr>
                <w:sz w:val="24"/>
                <w:szCs w:val="24"/>
              </w:rPr>
              <w:t>879,11</w:t>
            </w:r>
          </w:p>
        </w:tc>
        <w:tc>
          <w:tcPr>
            <w:tcW w:w="1321"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879,11</w:t>
            </w:r>
          </w:p>
        </w:tc>
      </w:tr>
      <w:tr>
        <w:trPr/>
        <w:tc>
          <w:tcPr>
            <w:tcW w:w="3974" w:type="dxa"/>
            <w:tcBorders>
              <w:left w:val="single" w:sz="2" w:space="0" w:color="000000"/>
              <w:bottom w:val="single" w:sz="2" w:space="0" w:color="000000"/>
            </w:tcBorders>
          </w:tcPr>
          <w:p>
            <w:pPr>
              <w:pStyle w:val="Contedodatabela"/>
              <w:jc w:val="both"/>
              <w:rPr>
                <w:sz w:val="24"/>
                <w:szCs w:val="24"/>
              </w:rPr>
            </w:pPr>
            <w:r>
              <w:rPr>
                <w:sz w:val="24"/>
                <w:szCs w:val="24"/>
              </w:rPr>
              <w:t>Etiqueta autoadesiva feita de papel couchê, acabamento fosco, gramatura 20g, cor branca, comprimento de 55,00 mm de altura e de 27 mm, com tratamento para impressão de código de barra.</w:t>
            </w:r>
          </w:p>
        </w:tc>
        <w:tc>
          <w:tcPr>
            <w:tcW w:w="1980" w:type="dxa"/>
            <w:tcBorders>
              <w:left w:val="single" w:sz="2" w:space="0" w:color="000000"/>
              <w:bottom w:val="single" w:sz="2" w:space="0" w:color="000000"/>
            </w:tcBorders>
          </w:tcPr>
          <w:p>
            <w:pPr>
              <w:pStyle w:val="Contedodatabela"/>
              <w:jc w:val="right"/>
              <w:rPr>
                <w:sz w:val="24"/>
                <w:szCs w:val="24"/>
              </w:rPr>
            </w:pPr>
            <w:r>
              <w:rPr>
                <w:sz w:val="24"/>
                <w:szCs w:val="24"/>
              </w:rPr>
              <w:t>1.000,0</w:t>
            </w:r>
          </w:p>
        </w:tc>
        <w:tc>
          <w:tcPr>
            <w:tcW w:w="1365" w:type="dxa"/>
            <w:tcBorders>
              <w:left w:val="single" w:sz="2" w:space="0" w:color="000000"/>
              <w:bottom w:val="single" w:sz="2" w:space="0" w:color="000000"/>
            </w:tcBorders>
          </w:tcPr>
          <w:p>
            <w:pPr>
              <w:pStyle w:val="Contedodatabela"/>
              <w:jc w:val="right"/>
              <w:rPr>
                <w:sz w:val="24"/>
                <w:szCs w:val="24"/>
              </w:rPr>
            </w:pPr>
            <w:r>
              <w:rPr>
                <w:sz w:val="24"/>
                <w:szCs w:val="24"/>
              </w:rPr>
              <w:t>0,04</w:t>
            </w:r>
          </w:p>
        </w:tc>
        <w:tc>
          <w:tcPr>
            <w:tcW w:w="1321"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41,00</w:t>
            </w:r>
          </w:p>
        </w:tc>
      </w:tr>
      <w:tr>
        <w:trPr/>
        <w:tc>
          <w:tcPr>
            <w:tcW w:w="3974" w:type="dxa"/>
            <w:tcBorders>
              <w:left w:val="single" w:sz="2" w:space="0" w:color="000000"/>
              <w:bottom w:val="single" w:sz="2" w:space="0" w:color="000000"/>
            </w:tcBorders>
          </w:tcPr>
          <w:p>
            <w:pPr>
              <w:pStyle w:val="Contedodatabela"/>
              <w:jc w:val="both"/>
              <w:rPr>
                <w:sz w:val="24"/>
                <w:szCs w:val="24"/>
              </w:rPr>
            </w:pPr>
            <w:r>
              <w:rPr>
                <w:sz w:val="24"/>
                <w:szCs w:val="24"/>
              </w:rPr>
              <w:t>Fita ribbon feita de cera preta, comprimento de 74,00 m e altura de 110,00 mm.</w:t>
            </w:r>
          </w:p>
        </w:tc>
        <w:tc>
          <w:tcPr>
            <w:tcW w:w="1980" w:type="dxa"/>
            <w:tcBorders>
              <w:left w:val="single" w:sz="2" w:space="0" w:color="000000"/>
              <w:bottom w:val="single" w:sz="2" w:space="0" w:color="000000"/>
            </w:tcBorders>
          </w:tcPr>
          <w:p>
            <w:pPr>
              <w:pStyle w:val="Contedodatabela"/>
              <w:jc w:val="right"/>
              <w:rPr>
                <w:sz w:val="24"/>
                <w:szCs w:val="24"/>
              </w:rPr>
            </w:pPr>
            <w:r>
              <w:rPr>
                <w:sz w:val="24"/>
                <w:szCs w:val="24"/>
              </w:rPr>
              <w:t>1,0</w:t>
            </w:r>
          </w:p>
        </w:tc>
        <w:tc>
          <w:tcPr>
            <w:tcW w:w="1365" w:type="dxa"/>
            <w:tcBorders>
              <w:left w:val="single" w:sz="2" w:space="0" w:color="000000"/>
              <w:bottom w:val="single" w:sz="2" w:space="0" w:color="000000"/>
            </w:tcBorders>
          </w:tcPr>
          <w:p>
            <w:pPr>
              <w:pStyle w:val="Contedodatabela"/>
              <w:jc w:val="right"/>
              <w:rPr>
                <w:sz w:val="24"/>
                <w:szCs w:val="24"/>
              </w:rPr>
            </w:pPr>
            <w:r>
              <w:rPr>
                <w:sz w:val="24"/>
                <w:szCs w:val="24"/>
              </w:rPr>
              <w:t>15,00</w:t>
            </w:r>
          </w:p>
        </w:tc>
        <w:tc>
          <w:tcPr>
            <w:tcW w:w="1321"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15,00</w:t>
            </w:r>
          </w:p>
        </w:tc>
      </w:tr>
    </w:tbl>
    <w:p>
      <w:pPr>
        <w:pStyle w:val="Normal"/>
        <w:jc w:val="both"/>
        <w:rPr>
          <w:sz w:val="24"/>
          <w:szCs w:val="24"/>
        </w:rPr>
      </w:pPr>
      <w:r>
        <w:rPr>
          <w:sz w:val="24"/>
          <w:szCs w:val="24"/>
        </w:rPr>
      </w:r>
    </w:p>
    <w:p>
      <w:pPr>
        <w:pStyle w:val="Normal"/>
        <w:jc w:val="both"/>
        <w:rPr/>
      </w:pPr>
      <w:r>
        <w:rPr>
          <w:sz w:val="24"/>
          <w:szCs w:val="24"/>
        </w:rPr>
        <w:tab/>
        <w:t xml:space="preserve">Vislumbra-se que tal valor é compatível com o praticado pelo mercado correspondente, observando-se o disposto no Decreto Municipal, que “Estabelece o procedimento administrativo para a realização de pesquisa de preços para aquisição de bens, contratação de serviços em geral e para contratação de obras e serviços de engenharia no âmbito do Município de </w:t>
      </w:r>
      <w:r>
        <w:rPr>
          <w:rFonts w:eastAsia="Times New Roman" w:cs="Times New Roman"/>
          <w:color w:val="auto"/>
          <w:sz w:val="24"/>
          <w:szCs w:val="24"/>
          <w:lang w:val="pt-BR" w:bidi="ar-SA"/>
        </w:rPr>
        <w:t>Viadutos</w:t>
      </w:r>
      <w:r>
        <w:rPr>
          <w:sz w:val="24"/>
          <w:szCs w:val="24"/>
        </w:rPr>
        <w:t>, nos termos da Lei Federal nº 14.133/2021”, nos termos do art. 23, § 1º, da Lei Federal nº 14.133/2021.</w:t>
      </w:r>
    </w:p>
    <w:p>
      <w:pPr>
        <w:pStyle w:val="Normal"/>
        <w:jc w:val="both"/>
        <w:rPr>
          <w:sz w:val="24"/>
          <w:szCs w:val="24"/>
        </w:rPr>
      </w:pPr>
      <w:r>
        <w:rPr>
          <w:sz w:val="24"/>
          <w:szCs w:val="24"/>
        </w:rPr>
      </w:r>
    </w:p>
    <w:p>
      <w:pPr>
        <w:pStyle w:val="Normal"/>
        <w:jc w:val="both"/>
        <w:rPr>
          <w:b/>
          <w:b/>
          <w:bCs/>
          <w:sz w:val="24"/>
          <w:szCs w:val="24"/>
        </w:rPr>
      </w:pPr>
      <w:r>
        <w:rPr>
          <w:b/>
          <w:bCs/>
          <w:sz w:val="24"/>
          <w:szCs w:val="24"/>
        </w:rPr>
        <w:t>10. ADEQUAÇÃO ORÇAMENTÁRIA</w:t>
      </w:r>
    </w:p>
    <w:p>
      <w:pPr>
        <w:pStyle w:val="Normal"/>
        <w:jc w:val="both"/>
        <w:rPr>
          <w:sz w:val="24"/>
          <w:szCs w:val="24"/>
        </w:rPr>
      </w:pPr>
      <w:r>
        <w:rPr>
          <w:sz w:val="24"/>
          <w:szCs w:val="24"/>
        </w:rPr>
        <w:tab/>
        <w:t>O dispêndio financeiro decorrente da contratação ora pretendida decorrerá da dotação orçamentária:</w:t>
      </w:r>
    </w:p>
    <w:tbl>
      <w:tblPr>
        <w:tblW w:w="8640" w:type="dxa"/>
        <w:jc w:val="left"/>
        <w:tblInd w:w="55" w:type="dxa"/>
        <w:tblCellMar>
          <w:top w:w="55" w:type="dxa"/>
          <w:left w:w="55" w:type="dxa"/>
          <w:bottom w:w="55" w:type="dxa"/>
          <w:right w:w="55" w:type="dxa"/>
        </w:tblCellMar>
      </w:tblPr>
      <w:tblGrid>
        <w:gridCol w:w="2880"/>
        <w:gridCol w:w="2880"/>
        <w:gridCol w:w="2880"/>
      </w:tblGrid>
      <w:tr>
        <w:trPr/>
        <w:tc>
          <w:tcPr>
            <w:tcW w:w="2880" w:type="dxa"/>
            <w:tcBorders>
              <w:top w:val="single" w:sz="2" w:space="0" w:color="000000"/>
              <w:left w:val="single" w:sz="2" w:space="0" w:color="000000"/>
              <w:bottom w:val="single" w:sz="2" w:space="0" w:color="000000"/>
            </w:tcBorders>
          </w:tcPr>
          <w:p>
            <w:pPr>
              <w:pStyle w:val="Contedodatabela"/>
              <w:jc w:val="center"/>
              <w:rPr>
                <w:sz w:val="24"/>
                <w:szCs w:val="24"/>
              </w:rPr>
            </w:pPr>
            <w:r>
              <w:rPr>
                <w:sz w:val="24"/>
                <w:szCs w:val="24"/>
              </w:rPr>
              <w:t>Código</w:t>
            </w:r>
          </w:p>
        </w:tc>
        <w:tc>
          <w:tcPr>
            <w:tcW w:w="2880" w:type="dxa"/>
            <w:tcBorders>
              <w:top w:val="single" w:sz="2" w:space="0" w:color="000000"/>
              <w:left w:val="single" w:sz="2" w:space="0" w:color="000000"/>
              <w:bottom w:val="single" w:sz="2" w:space="0" w:color="000000"/>
            </w:tcBorders>
          </w:tcPr>
          <w:p>
            <w:pPr>
              <w:pStyle w:val="Contedodatabela"/>
              <w:jc w:val="center"/>
              <w:rPr>
                <w:sz w:val="24"/>
                <w:szCs w:val="24"/>
              </w:rPr>
            </w:pPr>
            <w:r>
              <w:rPr>
                <w:sz w:val="24"/>
                <w:szCs w:val="24"/>
              </w:rPr>
              <w:t>Elemento</w:t>
            </w:r>
          </w:p>
        </w:tc>
        <w:tc>
          <w:tcPr>
            <w:tcW w:w="2880" w:type="dxa"/>
            <w:tcBorders>
              <w:top w:val="single" w:sz="2" w:space="0" w:color="000000"/>
              <w:left w:val="single" w:sz="2" w:space="0" w:color="000000"/>
              <w:bottom w:val="single" w:sz="2" w:space="0" w:color="000000"/>
              <w:right w:val="single" w:sz="2" w:space="0" w:color="000000"/>
            </w:tcBorders>
          </w:tcPr>
          <w:p>
            <w:pPr>
              <w:pStyle w:val="Contedodatabela"/>
              <w:jc w:val="center"/>
              <w:rPr>
                <w:sz w:val="24"/>
                <w:szCs w:val="24"/>
              </w:rPr>
            </w:pPr>
            <w:r>
              <w:rPr>
                <w:sz w:val="24"/>
                <w:szCs w:val="24"/>
              </w:rPr>
              <w:t>Recurso</w:t>
            </w:r>
          </w:p>
        </w:tc>
      </w:tr>
      <w:tr>
        <w:trPr/>
        <w:tc>
          <w:tcPr>
            <w:tcW w:w="2880" w:type="dxa"/>
            <w:tcBorders>
              <w:left w:val="single" w:sz="2" w:space="0" w:color="000000"/>
              <w:bottom w:val="single" w:sz="2" w:space="0" w:color="000000"/>
            </w:tcBorders>
          </w:tcPr>
          <w:p>
            <w:pPr>
              <w:pStyle w:val="Contedodatabela"/>
              <w:jc w:val="center"/>
              <w:rPr>
                <w:sz w:val="24"/>
                <w:szCs w:val="24"/>
              </w:rPr>
            </w:pPr>
            <w:r>
              <w:rPr>
                <w:sz w:val="24"/>
                <w:szCs w:val="24"/>
              </w:rPr>
              <w:t>1029</w:t>
            </w:r>
          </w:p>
        </w:tc>
        <w:tc>
          <w:tcPr>
            <w:tcW w:w="2880" w:type="dxa"/>
            <w:tcBorders>
              <w:left w:val="single" w:sz="2" w:space="0" w:color="000000"/>
              <w:bottom w:val="single" w:sz="2" w:space="0" w:color="000000"/>
            </w:tcBorders>
          </w:tcPr>
          <w:p>
            <w:pPr>
              <w:pStyle w:val="Contedodatabela"/>
              <w:jc w:val="center"/>
              <w:rPr>
                <w:sz w:val="24"/>
                <w:szCs w:val="24"/>
              </w:rPr>
            </w:pPr>
            <w:r>
              <w:rPr>
                <w:sz w:val="24"/>
                <w:szCs w:val="24"/>
              </w:rPr>
              <w:t>339030170000</w:t>
            </w:r>
          </w:p>
        </w:tc>
        <w:tc>
          <w:tcPr>
            <w:tcW w:w="2880"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1600</w:t>
            </w:r>
          </w:p>
        </w:tc>
      </w:tr>
    </w:tbl>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rFonts w:eastAsia="Times New Roman" w:cs="Times New Roman"/>
          <w:color w:val="auto"/>
          <w:sz w:val="24"/>
          <w:szCs w:val="24"/>
          <w:lang w:val="pt-BR" w:bidi="ar-SA"/>
        </w:rPr>
        <w:t>Viadutos</w:t>
      </w:r>
      <w:r>
        <w:rPr>
          <w:sz w:val="24"/>
          <w:szCs w:val="24"/>
        </w:rPr>
        <w:t xml:space="preserve"> – </w:t>
      </w:r>
      <w:r>
        <w:rPr>
          <w:sz w:val="24"/>
          <w:szCs w:val="24"/>
        </w:rPr>
        <w:t>RS, 12/05/25</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center"/>
        <w:rPr>
          <w:sz w:val="24"/>
          <w:szCs w:val="24"/>
        </w:rPr>
      </w:pPr>
      <w:r>
        <w:rPr>
          <w:sz w:val="24"/>
          <w:szCs w:val="24"/>
        </w:rPr>
        <w:t>_____________________________</w:t>
      </w:r>
    </w:p>
    <w:p>
      <w:pPr>
        <w:pStyle w:val="Normal"/>
        <w:jc w:val="center"/>
        <w:rPr>
          <w:rFonts w:ascii="Times New Roman" w:hAnsi="Times New Roman" w:eastAsia="Times New Roman" w:cs="Times New Roman"/>
          <w:color w:val="auto"/>
          <w:sz w:val="24"/>
          <w:szCs w:val="24"/>
          <w:lang w:val="pt-BR" w:bidi="ar-SA"/>
        </w:rPr>
      </w:pPr>
      <w:r>
        <w:rPr>
          <w:rFonts w:eastAsia="Times New Roman" w:cs="Times New Roman"/>
          <w:color w:val="auto"/>
          <w:sz w:val="24"/>
          <w:szCs w:val="24"/>
          <w:lang w:val="pt-BR" w:bidi="ar-SA"/>
        </w:rPr>
        <w:t>Eduardo Nichetti</w:t>
      </w:r>
    </w:p>
    <w:p>
      <w:pPr>
        <w:pStyle w:val="Normal"/>
        <w:jc w:val="center"/>
        <w:rPr>
          <w:sz w:val="24"/>
          <w:szCs w:val="24"/>
        </w:rPr>
      </w:pPr>
      <w:r>
        <w:rPr>
          <w:sz w:val="24"/>
          <w:szCs w:val="24"/>
        </w:rPr>
      </w:r>
    </w:p>
    <w:sectPr>
      <w:headerReference w:type="default" r:id="rId2"/>
      <w:type w:val="nextPage"/>
      <w:pgSz w:w="12240" w:h="15840"/>
      <w:pgMar w:left="1800" w:right="1800" w:header="1440" w:top="1954"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0" distT="0" distB="0" distL="0" distR="0" simplePos="0" locked="0" layoutInCell="1" allowOverlap="1" relativeHeight="5">
          <wp:simplePos x="0" y="0"/>
          <wp:positionH relativeFrom="column">
            <wp:posOffset>0</wp:posOffset>
          </wp:positionH>
          <wp:positionV relativeFrom="paragraph">
            <wp:posOffset>-438150</wp:posOffset>
          </wp:positionV>
          <wp:extent cx="5486400" cy="693420"/>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5486400" cy="693420"/>
                  </a:xfrm>
                  <a:prstGeom prst="rect">
                    <a:avLst/>
                  </a:prstGeom>
                </pic:spPr>
              </pic:pic>
            </a:graphicData>
          </a:graphic>
        </wp:anchor>
      </w:drawing>
    </w:r>
  </w:p>
</w:hdr>
</file>

<file path=word/settings.xml><?xml version="1.0" encoding="utf-8"?>
<w:settings xmlns:w="http://schemas.openxmlformats.org/wordprocessingml/2006/main">
  <w:zoom w:percent="100"/>
  <w:defaultTabStop w:val="708"/>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pt-BR" w:eastAsia="zh-CN" w:bidi="hi-IN"/>
      </w:rPr>
    </w:rPrDefault>
    <w:pPrDefault>
      <w:pPr>
        <w:suppressAutoHyphens w:val="true"/>
      </w:pPr>
    </w:pPrDefault>
  </w:docDefaults>
  <w:style w:type="paragraph" w:styleId="Normal">
    <w:name w:val="Normal"/>
    <w:qFormat/>
    <w:pPr>
      <w:widowControl/>
      <w:kinsoku w:val="true"/>
      <w:overflowPunct w:val="false"/>
      <w:autoSpaceDE w:val="false"/>
      <w:bidi w:val="0"/>
      <w:textAlignment w:val="baseline"/>
    </w:pPr>
    <w:rPr>
      <w:rFonts w:ascii="Times New Roman" w:hAnsi="Times New Roman" w:eastAsia="Times New Roman" w:cs="Times New Roman"/>
      <w:color w:val="auto"/>
      <w:sz w:val="20"/>
      <w:szCs w:val="20"/>
      <w:lang w:val="pt-BR" w:bidi="ar-SA" w:eastAsia="zh-CN"/>
    </w:rPr>
  </w:style>
  <w:style w:type="character" w:styleId="DefaultParagraphFont">
    <w:name w:val="Default Paragraph Font"/>
    <w:qForma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CabealhoeRodap">
    <w:name w:val="Cabeçalho e Rodapé"/>
    <w:basedOn w:val="Normal"/>
    <w:qFormat/>
    <w:pPr>
      <w:suppressLineNumbers/>
      <w:tabs>
        <w:tab w:val="clear" w:pos="708"/>
        <w:tab w:val="center" w:pos="4320" w:leader="none"/>
        <w:tab w:val="right" w:pos="8640" w:leader="none"/>
      </w:tabs>
    </w:pPr>
    <w:rPr/>
  </w:style>
  <w:style w:type="paragraph" w:styleId="Cabealho">
    <w:name w:val="Header"/>
    <w:basedOn w:val="CabealhoeRodap"/>
    <w:pPr>
      <w:suppressLineNumbers/>
    </w:pPr>
    <w:rPr/>
  </w:style>
  <w:style w:type="paragraph" w:styleId="Standard">
    <w:name w:val="Standard"/>
    <w:qFormat/>
    <w:pPr>
      <w:widowControl w:val="false"/>
      <w:suppressAutoHyphens w:val="true"/>
      <w:kinsoku w:val="true"/>
      <w:overflowPunct w:val="true"/>
      <w:autoSpaceDE w:val="true"/>
      <w:bidi w:val="0"/>
      <w:textAlignment w:val="baseline"/>
    </w:pPr>
    <w:rPr>
      <w:rFonts w:ascii="Liberation Serif" w:hAnsi="Liberation Serif" w:eastAsia="SimSun;宋体" w:cs="Mangal"/>
      <w:color w:val="auto"/>
      <w:kern w:val="2"/>
      <w:sz w:val="24"/>
      <w:szCs w:val="24"/>
      <w:lang w:val="pt-B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57</TotalTime>
  <Application>LibreOffice/6.4.4.2$Windows_X86_64 LibreOffice_project/3d775be2011f3886db32dfd395a6a6d1ca2630ff</Application>
  <Pages>4</Pages>
  <Words>1023</Words>
  <Characters>5461</Characters>
  <CharactersWithSpaces>6430</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2023-06-05T10:08:00Z</dcterms:created>
  <dc:creator>a</dc:creator>
  <dc:description/>
  <cp:keywords/>
  <dc:language>pt-BR</dc:language>
  <cp:lastModifiedBy/>
  <dcterms:modified xsi:type="dcterms:W3CDTF">2025-05-13T09:26:48Z</dcterms:modified>
  <cp:revision>18</cp:revision>
  <dc:subject/>
  <dc:title>Sigla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