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3B" w:rsidRPr="00867F62" w:rsidRDefault="001800F4" w:rsidP="00867F62">
      <w:pPr>
        <w:pStyle w:val="Standard"/>
        <w:jc w:val="center"/>
        <w:rPr>
          <w:rFonts w:ascii="Times New Roman" w:hAnsi="Times New Roman" w:cs="Times New Roman"/>
          <w:b/>
          <w:bCs/>
          <w:sz w:val="22"/>
          <w:szCs w:val="22"/>
        </w:rPr>
      </w:pPr>
      <w:r w:rsidRPr="00867F62">
        <w:rPr>
          <w:rFonts w:ascii="Times New Roman" w:hAnsi="Times New Roman" w:cs="Times New Roman"/>
          <w:b/>
          <w:bCs/>
          <w:sz w:val="22"/>
          <w:szCs w:val="22"/>
        </w:rPr>
        <w:t>Edital de Pregão Nº 46/2025</w:t>
      </w:r>
    </w:p>
    <w:p w:rsidR="00A3743B" w:rsidRPr="00867F62" w:rsidRDefault="001800F4" w:rsidP="00867F62">
      <w:pPr>
        <w:pStyle w:val="Standard"/>
        <w:jc w:val="center"/>
        <w:rPr>
          <w:rFonts w:ascii="Times New Roman" w:hAnsi="Times New Roman" w:cs="Times New Roman"/>
          <w:b/>
          <w:bCs/>
          <w:sz w:val="22"/>
          <w:szCs w:val="22"/>
        </w:rPr>
      </w:pPr>
      <w:r w:rsidRPr="00867F62">
        <w:rPr>
          <w:rFonts w:ascii="Times New Roman" w:hAnsi="Times New Roman" w:cs="Times New Roman"/>
          <w:b/>
          <w:bCs/>
          <w:sz w:val="22"/>
          <w:szCs w:val="22"/>
        </w:rPr>
        <w:t>Processo nº 452/2025</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Tipo de julgamento:  </w:t>
      </w:r>
      <w:r w:rsidRPr="00867F62">
        <w:rPr>
          <w:rFonts w:ascii="Times New Roman" w:hAnsi="Times New Roman" w:cs="Times New Roman"/>
          <w:b/>
          <w:bCs/>
          <w:sz w:val="22"/>
          <w:szCs w:val="22"/>
        </w:rPr>
        <w:t xml:space="preserve"> Menor Preço - Menor Preço por Lote</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ind w:left="3969"/>
        <w:jc w:val="both"/>
        <w:rPr>
          <w:rFonts w:ascii="Times New Roman" w:hAnsi="Times New Roman" w:cs="Times New Roman"/>
          <w:sz w:val="22"/>
          <w:szCs w:val="22"/>
        </w:rPr>
      </w:pPr>
      <w:r w:rsidRPr="00867F62">
        <w:rPr>
          <w:rFonts w:ascii="Times New Roman" w:hAnsi="Times New Roman" w:cs="Times New Roman"/>
          <w:sz w:val="22"/>
          <w:szCs w:val="22"/>
        </w:rPr>
        <w:t xml:space="preserve">Edital de pregão presencial para a Contratação de empresa para fornecimento de playground e reforma de playground </w:t>
      </w:r>
      <w:r w:rsidR="00EF30C0" w:rsidRPr="00867F62">
        <w:rPr>
          <w:rFonts w:ascii="Times New Roman" w:hAnsi="Times New Roman" w:cs="Times New Roman"/>
          <w:sz w:val="22"/>
          <w:szCs w:val="22"/>
        </w:rPr>
        <w:t>existente</w:t>
      </w:r>
      <w:r w:rsidRPr="00867F62">
        <w:rPr>
          <w:rFonts w:ascii="Times New Roman" w:hAnsi="Times New Roman" w:cs="Times New Roman"/>
          <w:sz w:val="22"/>
          <w:szCs w:val="22"/>
        </w:rPr>
        <w:t xml:space="preserve"> para </w:t>
      </w:r>
      <w:r w:rsidR="00EF30C0" w:rsidRPr="00867F62">
        <w:rPr>
          <w:rFonts w:ascii="Times New Roman" w:hAnsi="Times New Roman" w:cs="Times New Roman"/>
          <w:sz w:val="22"/>
          <w:szCs w:val="22"/>
        </w:rPr>
        <w:t>instalação</w:t>
      </w:r>
      <w:r w:rsidRPr="00867F62">
        <w:rPr>
          <w:rFonts w:ascii="Times New Roman" w:hAnsi="Times New Roman" w:cs="Times New Roman"/>
          <w:sz w:val="22"/>
          <w:szCs w:val="22"/>
        </w:rPr>
        <w:t xml:space="preserve"> na </w:t>
      </w:r>
      <w:r w:rsidR="00421A2D" w:rsidRPr="00867F62">
        <w:rPr>
          <w:rFonts w:ascii="Times New Roman" w:hAnsi="Times New Roman" w:cs="Times New Roman"/>
          <w:sz w:val="22"/>
          <w:szCs w:val="22"/>
        </w:rPr>
        <w:t>Praça</w:t>
      </w:r>
      <w:r w:rsidRPr="00867F62">
        <w:rPr>
          <w:rFonts w:ascii="Times New Roman" w:hAnsi="Times New Roman" w:cs="Times New Roman"/>
          <w:sz w:val="22"/>
          <w:szCs w:val="22"/>
        </w:rPr>
        <w:t xml:space="preserve"> </w:t>
      </w:r>
      <w:proofErr w:type="spellStart"/>
      <w:r w:rsidRPr="00867F62">
        <w:rPr>
          <w:rFonts w:ascii="Times New Roman" w:hAnsi="Times New Roman" w:cs="Times New Roman"/>
          <w:sz w:val="22"/>
          <w:szCs w:val="22"/>
        </w:rPr>
        <w:t>Izidoro</w:t>
      </w:r>
      <w:proofErr w:type="spellEnd"/>
      <w:r w:rsidRPr="00867F62">
        <w:rPr>
          <w:rFonts w:ascii="Times New Roman" w:hAnsi="Times New Roman" w:cs="Times New Roman"/>
          <w:sz w:val="22"/>
          <w:szCs w:val="22"/>
        </w:rPr>
        <w:t xml:space="preserve"> José </w:t>
      </w:r>
      <w:proofErr w:type="spellStart"/>
      <w:r w:rsidRPr="00867F62">
        <w:rPr>
          <w:rFonts w:ascii="Times New Roman" w:hAnsi="Times New Roman" w:cs="Times New Roman"/>
          <w:sz w:val="22"/>
          <w:szCs w:val="22"/>
        </w:rPr>
        <w:t>Brancher</w:t>
      </w:r>
      <w:proofErr w:type="spellEnd"/>
      <w:r w:rsidRPr="00867F62">
        <w:rPr>
          <w:rFonts w:ascii="Times New Roman" w:hAnsi="Times New Roman" w:cs="Times New Roman"/>
          <w:sz w:val="22"/>
          <w:szCs w:val="22"/>
        </w:rPr>
        <w:t xml:space="preserve"> do </w:t>
      </w:r>
      <w:r w:rsidR="00EF30C0" w:rsidRPr="00867F62">
        <w:rPr>
          <w:rFonts w:ascii="Times New Roman" w:hAnsi="Times New Roman" w:cs="Times New Roman"/>
          <w:sz w:val="22"/>
          <w:szCs w:val="22"/>
        </w:rPr>
        <w:t>Município</w:t>
      </w:r>
      <w:r w:rsidRPr="00867F62">
        <w:rPr>
          <w:rFonts w:ascii="Times New Roman" w:hAnsi="Times New Roman" w:cs="Times New Roman"/>
          <w:sz w:val="22"/>
          <w:szCs w:val="22"/>
        </w:rPr>
        <w:t xml:space="preserve"> de Viadutos-RS</w:t>
      </w:r>
      <w:r w:rsidRPr="00867F62">
        <w:rPr>
          <w:rFonts w:ascii="Times New Roman" w:hAnsi="Times New Roman" w:cs="Times New Roman"/>
          <w:b/>
          <w:bCs/>
          <w:sz w:val="22"/>
          <w:szCs w:val="22"/>
        </w:rPr>
        <w:t>.</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b/>
          <w:bCs/>
          <w:sz w:val="22"/>
          <w:szCs w:val="22"/>
        </w:rPr>
        <w:t>O PREFEITO MUNICIPAL DE VIADUTOS</w:t>
      </w:r>
      <w:r w:rsidRPr="00867F62">
        <w:rPr>
          <w:rFonts w:ascii="Times New Roman" w:hAnsi="Times New Roman" w:cs="Times New Roman"/>
          <w:sz w:val="22"/>
          <w:szCs w:val="22"/>
        </w:rPr>
        <w:t xml:space="preserve">, no uso de suas atribuições, torna público, para conhecimento dos interessados, que às </w:t>
      </w:r>
      <w:r w:rsidRPr="00867F62">
        <w:rPr>
          <w:rFonts w:ascii="Times New Roman" w:hAnsi="Times New Roman" w:cs="Times New Roman"/>
          <w:b/>
          <w:bCs/>
          <w:sz w:val="22"/>
          <w:szCs w:val="22"/>
        </w:rPr>
        <w:t>09:00</w:t>
      </w:r>
      <w:r w:rsidRPr="00867F62">
        <w:rPr>
          <w:rFonts w:ascii="Times New Roman" w:hAnsi="Times New Roman" w:cs="Times New Roman"/>
          <w:sz w:val="22"/>
          <w:szCs w:val="22"/>
        </w:rPr>
        <w:t xml:space="preserve"> horas, do dia </w:t>
      </w:r>
      <w:r w:rsidRPr="00867F62">
        <w:rPr>
          <w:rFonts w:ascii="Times New Roman" w:hAnsi="Times New Roman" w:cs="Times New Roman"/>
          <w:b/>
          <w:bCs/>
          <w:sz w:val="22"/>
          <w:szCs w:val="22"/>
        </w:rPr>
        <w:t>19/11/25</w:t>
      </w:r>
      <w:r w:rsidRPr="00867F62">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w:t>
      </w:r>
      <w:r w:rsidR="00EF30C0" w:rsidRPr="00867F62">
        <w:rPr>
          <w:rFonts w:ascii="Times New Roman" w:hAnsi="Times New Roman" w:cs="Times New Roman"/>
          <w:sz w:val="22"/>
          <w:szCs w:val="22"/>
        </w:rPr>
        <w:t xml:space="preserve"> em</w:t>
      </w:r>
      <w:r w:rsidRPr="00867F62">
        <w:rPr>
          <w:rFonts w:ascii="Times New Roman" w:hAnsi="Times New Roman" w:cs="Times New Roman"/>
          <w:sz w:val="22"/>
          <w:szCs w:val="22"/>
        </w:rPr>
        <w:t xml:space="preserve"> Imediato, dos bens descritos no item 1, processando-se essa licitação nos termos da Lei Federal nº 14.133 de 1º de abril de 2021.</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 xml:space="preserve">1. DO OBJETO: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54"/>
        <w:gridCol w:w="580"/>
        <w:gridCol w:w="4820"/>
        <w:gridCol w:w="1276"/>
        <w:gridCol w:w="992"/>
        <w:gridCol w:w="1559"/>
      </w:tblGrid>
      <w:tr w:rsidR="00EF30C0" w:rsidRPr="00867F62" w:rsidTr="00EF30C0">
        <w:tc>
          <w:tcPr>
            <w:tcW w:w="554" w:type="dxa"/>
          </w:tcPr>
          <w:p w:rsidR="00EF30C0" w:rsidRPr="00867F62" w:rsidRDefault="00EF30C0" w:rsidP="00867F62">
            <w:pPr>
              <w:pStyle w:val="Contedodatabela"/>
              <w:jc w:val="center"/>
              <w:rPr>
                <w:b/>
                <w:sz w:val="22"/>
                <w:szCs w:val="22"/>
              </w:rPr>
            </w:pPr>
            <w:r w:rsidRPr="00867F62">
              <w:rPr>
                <w:b/>
                <w:sz w:val="22"/>
                <w:szCs w:val="22"/>
              </w:rPr>
              <w:t>Lote</w:t>
            </w:r>
          </w:p>
        </w:tc>
        <w:tc>
          <w:tcPr>
            <w:tcW w:w="580" w:type="dxa"/>
          </w:tcPr>
          <w:p w:rsidR="00EF30C0" w:rsidRPr="00867F62" w:rsidRDefault="00EF30C0" w:rsidP="00867F62">
            <w:pPr>
              <w:pStyle w:val="Contedodatabela"/>
              <w:jc w:val="center"/>
              <w:rPr>
                <w:b/>
                <w:sz w:val="22"/>
                <w:szCs w:val="22"/>
              </w:rPr>
            </w:pPr>
            <w:r w:rsidRPr="00867F62">
              <w:rPr>
                <w:b/>
                <w:sz w:val="22"/>
                <w:szCs w:val="22"/>
              </w:rPr>
              <w:t>Item</w:t>
            </w:r>
          </w:p>
        </w:tc>
        <w:tc>
          <w:tcPr>
            <w:tcW w:w="4820" w:type="dxa"/>
          </w:tcPr>
          <w:p w:rsidR="00EF30C0" w:rsidRPr="00867F62" w:rsidRDefault="00EF30C0" w:rsidP="00867F62">
            <w:pPr>
              <w:pStyle w:val="Contedodatabela"/>
              <w:jc w:val="center"/>
              <w:rPr>
                <w:b/>
                <w:sz w:val="22"/>
                <w:szCs w:val="22"/>
              </w:rPr>
            </w:pPr>
            <w:r w:rsidRPr="00867F62">
              <w:rPr>
                <w:b/>
                <w:sz w:val="22"/>
                <w:szCs w:val="22"/>
              </w:rPr>
              <w:t>Descrição</w:t>
            </w:r>
          </w:p>
        </w:tc>
        <w:tc>
          <w:tcPr>
            <w:tcW w:w="1276" w:type="dxa"/>
          </w:tcPr>
          <w:p w:rsidR="00EF30C0" w:rsidRPr="00867F62" w:rsidRDefault="00EF30C0" w:rsidP="00867F62">
            <w:pPr>
              <w:pStyle w:val="Contedodatabela"/>
              <w:jc w:val="center"/>
              <w:rPr>
                <w:b/>
                <w:sz w:val="22"/>
                <w:szCs w:val="22"/>
              </w:rPr>
            </w:pPr>
            <w:r w:rsidRPr="00867F62">
              <w:rPr>
                <w:b/>
                <w:sz w:val="22"/>
                <w:szCs w:val="22"/>
              </w:rPr>
              <w:t>Quantidade</w:t>
            </w:r>
          </w:p>
        </w:tc>
        <w:tc>
          <w:tcPr>
            <w:tcW w:w="992" w:type="dxa"/>
          </w:tcPr>
          <w:p w:rsidR="00EF30C0" w:rsidRPr="00867F62" w:rsidRDefault="00EF30C0" w:rsidP="00867F62">
            <w:pPr>
              <w:pStyle w:val="Contedodatabela"/>
              <w:jc w:val="center"/>
              <w:rPr>
                <w:b/>
                <w:sz w:val="22"/>
                <w:szCs w:val="22"/>
              </w:rPr>
            </w:pPr>
            <w:r w:rsidRPr="00867F62">
              <w:rPr>
                <w:b/>
                <w:sz w:val="22"/>
                <w:szCs w:val="22"/>
              </w:rPr>
              <w:t>Unidade</w:t>
            </w:r>
          </w:p>
        </w:tc>
        <w:tc>
          <w:tcPr>
            <w:tcW w:w="1559" w:type="dxa"/>
          </w:tcPr>
          <w:p w:rsidR="00EF30C0" w:rsidRPr="00867F62" w:rsidRDefault="00EF30C0" w:rsidP="00867F62">
            <w:pPr>
              <w:pStyle w:val="Contedodatabela"/>
              <w:jc w:val="center"/>
              <w:rPr>
                <w:b/>
                <w:sz w:val="22"/>
                <w:szCs w:val="22"/>
              </w:rPr>
            </w:pPr>
            <w:r w:rsidRPr="00867F62">
              <w:rPr>
                <w:b/>
                <w:sz w:val="22"/>
                <w:szCs w:val="22"/>
              </w:rPr>
              <w:t>Unitário</w:t>
            </w:r>
          </w:p>
        </w:tc>
      </w:tr>
      <w:tr w:rsidR="00EF30C0" w:rsidRPr="00867F62" w:rsidTr="00EF30C0">
        <w:tc>
          <w:tcPr>
            <w:tcW w:w="554" w:type="dxa"/>
          </w:tcPr>
          <w:p w:rsidR="00EF30C0" w:rsidRPr="00867F62" w:rsidRDefault="00EF30C0" w:rsidP="00867F62">
            <w:pPr>
              <w:pStyle w:val="Contedodatabela"/>
              <w:jc w:val="center"/>
              <w:rPr>
                <w:sz w:val="22"/>
                <w:szCs w:val="22"/>
              </w:rPr>
            </w:pPr>
            <w:r w:rsidRPr="00867F62">
              <w:rPr>
                <w:sz w:val="22"/>
                <w:szCs w:val="22"/>
              </w:rPr>
              <w:t>1</w:t>
            </w:r>
          </w:p>
        </w:tc>
        <w:tc>
          <w:tcPr>
            <w:tcW w:w="580" w:type="dxa"/>
          </w:tcPr>
          <w:p w:rsidR="00EF30C0" w:rsidRPr="00867F62" w:rsidRDefault="00EF30C0" w:rsidP="00867F62">
            <w:pPr>
              <w:pStyle w:val="Contedodatabela"/>
              <w:jc w:val="center"/>
              <w:rPr>
                <w:sz w:val="22"/>
                <w:szCs w:val="22"/>
              </w:rPr>
            </w:pPr>
            <w:r w:rsidRPr="00867F62">
              <w:rPr>
                <w:sz w:val="22"/>
                <w:szCs w:val="22"/>
              </w:rPr>
              <w:t>1</w:t>
            </w:r>
          </w:p>
        </w:tc>
        <w:tc>
          <w:tcPr>
            <w:tcW w:w="4820" w:type="dxa"/>
          </w:tcPr>
          <w:p w:rsidR="00EF30C0" w:rsidRPr="00867F62" w:rsidRDefault="00EF30C0" w:rsidP="00867F62">
            <w:pPr>
              <w:jc w:val="both"/>
              <w:rPr>
                <w:sz w:val="22"/>
                <w:szCs w:val="22"/>
              </w:rPr>
            </w:pPr>
            <w:r w:rsidRPr="00867F62">
              <w:rPr>
                <w:sz w:val="22"/>
                <w:szCs w:val="22"/>
              </w:rPr>
              <w:t xml:space="preserve">Playground com formato de locomotiva Maria fumaça, contendo: </w:t>
            </w:r>
          </w:p>
          <w:p w:rsidR="00EF30C0" w:rsidRPr="00867F62" w:rsidRDefault="00EF30C0" w:rsidP="00867F62">
            <w:pPr>
              <w:pStyle w:val="PargrafodaLista"/>
              <w:numPr>
                <w:ilvl w:val="0"/>
                <w:numId w:val="2"/>
              </w:numPr>
              <w:jc w:val="both"/>
              <w:rPr>
                <w:sz w:val="22"/>
                <w:szCs w:val="22"/>
              </w:rPr>
            </w:pPr>
            <w:r w:rsidRPr="00867F62">
              <w:rPr>
                <w:sz w:val="22"/>
                <w:szCs w:val="22"/>
              </w:rPr>
              <w:t xml:space="preserve">Locomotiva em chapa metálica, tubos metálicos e barras em aço carbono; Frente composta por limpa trilhos em tubos metálicos; Suporte de lamparina; </w:t>
            </w:r>
          </w:p>
          <w:p w:rsidR="00EF30C0" w:rsidRPr="00867F62" w:rsidRDefault="00EF30C0" w:rsidP="00867F62">
            <w:pPr>
              <w:pStyle w:val="PargrafodaLista"/>
              <w:numPr>
                <w:ilvl w:val="0"/>
                <w:numId w:val="2"/>
              </w:numPr>
              <w:jc w:val="both"/>
              <w:rPr>
                <w:sz w:val="22"/>
                <w:szCs w:val="22"/>
              </w:rPr>
            </w:pPr>
            <w:r w:rsidRPr="00867F62">
              <w:rPr>
                <w:sz w:val="22"/>
                <w:szCs w:val="22"/>
              </w:rPr>
              <w:t xml:space="preserve">Corpo em tubo metálico com aberturas laterais de 100mm dos dois lados; </w:t>
            </w:r>
          </w:p>
          <w:p w:rsidR="00EF30C0" w:rsidRPr="00867F62" w:rsidRDefault="00EF30C0" w:rsidP="00867F62">
            <w:pPr>
              <w:pStyle w:val="PargrafodaLista"/>
              <w:numPr>
                <w:ilvl w:val="0"/>
                <w:numId w:val="2"/>
              </w:numPr>
              <w:jc w:val="both"/>
              <w:rPr>
                <w:sz w:val="22"/>
                <w:szCs w:val="22"/>
              </w:rPr>
            </w:pPr>
            <w:r w:rsidRPr="00867F62">
              <w:rPr>
                <w:sz w:val="22"/>
                <w:szCs w:val="22"/>
              </w:rPr>
              <w:t xml:space="preserve">Sobre o tubo do corpo 03 chaminés metálicos de tamanhos diferentes; </w:t>
            </w:r>
          </w:p>
          <w:p w:rsidR="00EF30C0" w:rsidRPr="00867F62" w:rsidRDefault="00EF30C0" w:rsidP="00867F62">
            <w:pPr>
              <w:pStyle w:val="PargrafodaLista"/>
              <w:numPr>
                <w:ilvl w:val="0"/>
                <w:numId w:val="2"/>
              </w:numPr>
              <w:jc w:val="both"/>
              <w:rPr>
                <w:sz w:val="22"/>
                <w:szCs w:val="22"/>
              </w:rPr>
            </w:pPr>
            <w:r w:rsidRPr="00867F62">
              <w:rPr>
                <w:sz w:val="22"/>
                <w:szCs w:val="22"/>
              </w:rPr>
              <w:t xml:space="preserve">01 Sino com acionamento de cabine; </w:t>
            </w:r>
          </w:p>
          <w:p w:rsidR="00EF30C0" w:rsidRPr="00867F62" w:rsidRDefault="00EF30C0" w:rsidP="00867F62">
            <w:pPr>
              <w:pStyle w:val="PargrafodaLista"/>
              <w:numPr>
                <w:ilvl w:val="0"/>
                <w:numId w:val="2"/>
              </w:numPr>
              <w:jc w:val="both"/>
              <w:rPr>
                <w:sz w:val="22"/>
                <w:szCs w:val="22"/>
              </w:rPr>
            </w:pPr>
            <w:r w:rsidRPr="00867F62">
              <w:rPr>
                <w:sz w:val="22"/>
                <w:szCs w:val="22"/>
              </w:rPr>
              <w:t xml:space="preserve">02 rodas frontais com diâmetro de 400mm, dos dois lados, metálicas construídas em tubos com raios do mesmo material; </w:t>
            </w:r>
          </w:p>
          <w:p w:rsidR="00EF30C0" w:rsidRPr="00867F62" w:rsidRDefault="00EF30C0" w:rsidP="00867F62">
            <w:pPr>
              <w:pStyle w:val="PargrafodaLista"/>
              <w:numPr>
                <w:ilvl w:val="0"/>
                <w:numId w:val="2"/>
              </w:numPr>
              <w:jc w:val="both"/>
              <w:rPr>
                <w:sz w:val="22"/>
                <w:szCs w:val="22"/>
              </w:rPr>
            </w:pPr>
            <w:r w:rsidRPr="00867F62">
              <w:rPr>
                <w:sz w:val="22"/>
                <w:szCs w:val="22"/>
              </w:rPr>
              <w:t xml:space="preserve">Na traseira 02 rodas metálicas diâmetro de 1200mm dos dois lados da locomotiva, com raios do mesmo material. As rodas possuem um braço articulado para representar ligação de giro entre elas; </w:t>
            </w:r>
          </w:p>
          <w:p w:rsidR="00EF30C0" w:rsidRPr="00867F62" w:rsidRDefault="00EF30C0" w:rsidP="00867F62">
            <w:pPr>
              <w:pStyle w:val="PargrafodaLista"/>
              <w:numPr>
                <w:ilvl w:val="0"/>
                <w:numId w:val="2"/>
              </w:numPr>
              <w:jc w:val="both"/>
              <w:rPr>
                <w:sz w:val="22"/>
                <w:szCs w:val="22"/>
              </w:rPr>
            </w:pPr>
            <w:r w:rsidRPr="00867F62">
              <w:rPr>
                <w:sz w:val="22"/>
                <w:szCs w:val="22"/>
              </w:rPr>
              <w:t>Abaixo do tubo do corpo existe um chassi metálico em perfil “U”, de 150x40x2mm;</w:t>
            </w:r>
          </w:p>
          <w:p w:rsidR="00EF30C0" w:rsidRPr="00867F62" w:rsidRDefault="00EF30C0" w:rsidP="00867F62">
            <w:pPr>
              <w:pStyle w:val="PargrafodaLista"/>
              <w:numPr>
                <w:ilvl w:val="0"/>
                <w:numId w:val="2"/>
              </w:numPr>
              <w:jc w:val="both"/>
              <w:rPr>
                <w:sz w:val="22"/>
                <w:szCs w:val="22"/>
              </w:rPr>
            </w:pPr>
            <w:r w:rsidRPr="00867F62">
              <w:rPr>
                <w:sz w:val="22"/>
                <w:szCs w:val="22"/>
              </w:rPr>
              <w:t xml:space="preserve">Cabine possui estrutura em tubo metálico mínimo 40x60x2mm, composta por colunas e longarinas. O fechamento lateral é opcional. No interior da cabine 04 bancos </w:t>
            </w:r>
            <w:proofErr w:type="spellStart"/>
            <w:r w:rsidRPr="00867F62">
              <w:rPr>
                <w:sz w:val="22"/>
                <w:szCs w:val="22"/>
              </w:rPr>
              <w:t>rotomoldados</w:t>
            </w:r>
            <w:proofErr w:type="spellEnd"/>
            <w:r w:rsidRPr="00867F62">
              <w:rPr>
                <w:sz w:val="22"/>
                <w:szCs w:val="22"/>
              </w:rPr>
              <w:t xml:space="preserve"> são montados sobre estrutura metálica;</w:t>
            </w:r>
          </w:p>
          <w:p w:rsidR="00EF30C0" w:rsidRPr="00867F62" w:rsidRDefault="00EF30C0" w:rsidP="00867F62">
            <w:pPr>
              <w:pStyle w:val="PargrafodaLista"/>
              <w:numPr>
                <w:ilvl w:val="0"/>
                <w:numId w:val="2"/>
              </w:numPr>
              <w:jc w:val="both"/>
              <w:rPr>
                <w:sz w:val="22"/>
                <w:szCs w:val="22"/>
              </w:rPr>
            </w:pPr>
            <w:r w:rsidRPr="00867F62">
              <w:rPr>
                <w:sz w:val="22"/>
                <w:szCs w:val="22"/>
              </w:rPr>
              <w:t>O teto da cabine produzido em chapa metálica com formato arredondado sem fechamento frontal e traseiro;</w:t>
            </w:r>
          </w:p>
          <w:p w:rsidR="00EF30C0" w:rsidRPr="00867F62" w:rsidRDefault="00EF30C0" w:rsidP="00867F62">
            <w:pPr>
              <w:pStyle w:val="PargrafodaLista"/>
              <w:numPr>
                <w:ilvl w:val="0"/>
                <w:numId w:val="2"/>
              </w:numPr>
              <w:jc w:val="both"/>
              <w:rPr>
                <w:sz w:val="22"/>
                <w:szCs w:val="22"/>
              </w:rPr>
            </w:pPr>
            <w:r w:rsidRPr="00867F62">
              <w:rPr>
                <w:sz w:val="22"/>
                <w:szCs w:val="22"/>
              </w:rPr>
              <w:t xml:space="preserve">As medidas da locomotiva é de no mínimo 6 </w:t>
            </w:r>
            <w:r w:rsidRPr="00867F62">
              <w:rPr>
                <w:sz w:val="22"/>
                <w:szCs w:val="22"/>
              </w:rPr>
              <w:lastRenderedPageBreak/>
              <w:t>metros de comprimento, 1,50 de largura contando a cabine e 1,70 de altura da cabine;</w:t>
            </w:r>
          </w:p>
          <w:p w:rsidR="00EF30C0" w:rsidRPr="00867F62" w:rsidRDefault="00EF30C0" w:rsidP="00867F62">
            <w:pPr>
              <w:pStyle w:val="Contedodatabela"/>
              <w:numPr>
                <w:ilvl w:val="0"/>
                <w:numId w:val="2"/>
              </w:numPr>
              <w:jc w:val="both"/>
              <w:rPr>
                <w:sz w:val="22"/>
                <w:szCs w:val="22"/>
              </w:rPr>
            </w:pPr>
            <w:r w:rsidRPr="00867F62">
              <w:rPr>
                <w:sz w:val="22"/>
                <w:szCs w:val="22"/>
              </w:rPr>
              <w:t>Área máxima de montagem: 8x2,5 metros contando área de circulação;</w:t>
            </w:r>
          </w:p>
        </w:tc>
        <w:tc>
          <w:tcPr>
            <w:tcW w:w="1276" w:type="dxa"/>
          </w:tcPr>
          <w:p w:rsidR="00EF30C0" w:rsidRPr="00867F62" w:rsidRDefault="00EF30C0" w:rsidP="00867F62">
            <w:pPr>
              <w:pStyle w:val="Contedodatabela"/>
              <w:jc w:val="center"/>
              <w:rPr>
                <w:sz w:val="22"/>
                <w:szCs w:val="22"/>
              </w:rPr>
            </w:pPr>
            <w:r w:rsidRPr="00867F62">
              <w:rPr>
                <w:sz w:val="22"/>
                <w:szCs w:val="22"/>
              </w:rPr>
              <w:lastRenderedPageBreak/>
              <w:t>1,0</w:t>
            </w:r>
          </w:p>
        </w:tc>
        <w:tc>
          <w:tcPr>
            <w:tcW w:w="992" w:type="dxa"/>
          </w:tcPr>
          <w:p w:rsidR="00EF30C0" w:rsidRPr="00867F62" w:rsidRDefault="00EF30C0" w:rsidP="00867F62">
            <w:pPr>
              <w:pStyle w:val="Contedodatabela"/>
              <w:jc w:val="center"/>
              <w:rPr>
                <w:sz w:val="22"/>
                <w:szCs w:val="22"/>
              </w:rPr>
            </w:pPr>
            <w:proofErr w:type="spellStart"/>
            <w:r w:rsidRPr="00867F62">
              <w:rPr>
                <w:sz w:val="22"/>
                <w:szCs w:val="22"/>
              </w:rPr>
              <w:t>Und</w:t>
            </w:r>
            <w:proofErr w:type="spellEnd"/>
          </w:p>
        </w:tc>
        <w:tc>
          <w:tcPr>
            <w:tcW w:w="1559" w:type="dxa"/>
          </w:tcPr>
          <w:p w:rsidR="00EF30C0" w:rsidRPr="00867F62" w:rsidRDefault="00EF30C0" w:rsidP="00867F62">
            <w:pPr>
              <w:pStyle w:val="Contedodatabela"/>
              <w:jc w:val="right"/>
              <w:rPr>
                <w:sz w:val="22"/>
                <w:szCs w:val="22"/>
              </w:rPr>
            </w:pPr>
            <w:r w:rsidRPr="00867F62">
              <w:rPr>
                <w:sz w:val="22"/>
                <w:szCs w:val="22"/>
              </w:rPr>
              <w:t xml:space="preserve">  R$ 40.000,00</w:t>
            </w:r>
          </w:p>
        </w:tc>
      </w:tr>
      <w:tr w:rsidR="00EF30C0" w:rsidRPr="00867F62" w:rsidTr="00EF30C0">
        <w:tc>
          <w:tcPr>
            <w:tcW w:w="554" w:type="dxa"/>
          </w:tcPr>
          <w:p w:rsidR="00EF30C0" w:rsidRPr="00867F62" w:rsidRDefault="00EF30C0" w:rsidP="00867F62">
            <w:pPr>
              <w:pStyle w:val="Contedodatabela"/>
              <w:jc w:val="center"/>
              <w:rPr>
                <w:sz w:val="22"/>
                <w:szCs w:val="22"/>
              </w:rPr>
            </w:pPr>
            <w:r w:rsidRPr="00867F62">
              <w:rPr>
                <w:sz w:val="22"/>
                <w:szCs w:val="22"/>
              </w:rPr>
              <w:lastRenderedPageBreak/>
              <w:t>1</w:t>
            </w:r>
          </w:p>
        </w:tc>
        <w:tc>
          <w:tcPr>
            <w:tcW w:w="580" w:type="dxa"/>
          </w:tcPr>
          <w:p w:rsidR="00EF30C0" w:rsidRPr="00867F62" w:rsidRDefault="00EF30C0" w:rsidP="00867F62">
            <w:pPr>
              <w:pStyle w:val="Contedodatabela"/>
              <w:jc w:val="center"/>
              <w:rPr>
                <w:sz w:val="22"/>
                <w:szCs w:val="22"/>
              </w:rPr>
            </w:pPr>
            <w:r w:rsidRPr="00867F62">
              <w:rPr>
                <w:sz w:val="22"/>
                <w:szCs w:val="22"/>
              </w:rPr>
              <w:t>2</w:t>
            </w:r>
          </w:p>
        </w:tc>
        <w:tc>
          <w:tcPr>
            <w:tcW w:w="4820" w:type="dxa"/>
          </w:tcPr>
          <w:p w:rsidR="00EF30C0" w:rsidRPr="00867F62" w:rsidRDefault="00EF30C0" w:rsidP="00867F62">
            <w:pPr>
              <w:pStyle w:val="Contedodatabela"/>
              <w:jc w:val="both"/>
              <w:rPr>
                <w:sz w:val="22"/>
                <w:szCs w:val="22"/>
              </w:rPr>
            </w:pPr>
            <w:r w:rsidRPr="00867F62">
              <w:rPr>
                <w:sz w:val="22"/>
                <w:szCs w:val="22"/>
              </w:rPr>
              <w:t xml:space="preserve">Reforma playground existente. A reforma será feita em quatro torres de brinquedos plásticos, sendo 3 quadradas e 01 sextavada, tais encontram-se montadas na Praça </w:t>
            </w:r>
            <w:proofErr w:type="spellStart"/>
            <w:r w:rsidRPr="00867F62">
              <w:rPr>
                <w:sz w:val="22"/>
                <w:szCs w:val="22"/>
              </w:rPr>
              <w:t>Izidoro</w:t>
            </w:r>
            <w:proofErr w:type="spellEnd"/>
            <w:r w:rsidRPr="00867F62">
              <w:rPr>
                <w:sz w:val="22"/>
                <w:szCs w:val="22"/>
              </w:rPr>
              <w:t xml:space="preserve"> José </w:t>
            </w:r>
            <w:proofErr w:type="spellStart"/>
            <w:r w:rsidRPr="00867F62">
              <w:rPr>
                <w:sz w:val="22"/>
                <w:szCs w:val="22"/>
              </w:rPr>
              <w:t>Brancher</w:t>
            </w:r>
            <w:proofErr w:type="spellEnd"/>
            <w:r w:rsidRPr="00867F62">
              <w:rPr>
                <w:sz w:val="22"/>
                <w:szCs w:val="22"/>
              </w:rPr>
              <w:t>. Os serviços de reforma serão:</w:t>
            </w:r>
          </w:p>
          <w:p w:rsidR="00EF30C0" w:rsidRPr="00867F62" w:rsidRDefault="00EF30C0" w:rsidP="00867F62">
            <w:pPr>
              <w:pStyle w:val="Contedodatabela"/>
              <w:numPr>
                <w:ilvl w:val="0"/>
                <w:numId w:val="4"/>
              </w:numPr>
              <w:jc w:val="both"/>
              <w:rPr>
                <w:sz w:val="22"/>
                <w:szCs w:val="22"/>
              </w:rPr>
            </w:pPr>
            <w:r w:rsidRPr="00867F62">
              <w:rPr>
                <w:sz w:val="22"/>
                <w:szCs w:val="22"/>
              </w:rPr>
              <w:t>Desmontagem dos brinquedos no local acima;</w:t>
            </w:r>
          </w:p>
          <w:p w:rsidR="00EF30C0" w:rsidRPr="00867F62" w:rsidRDefault="00EF30C0" w:rsidP="00867F62">
            <w:pPr>
              <w:pStyle w:val="Contedodatabela"/>
              <w:numPr>
                <w:ilvl w:val="0"/>
                <w:numId w:val="4"/>
              </w:numPr>
              <w:jc w:val="both"/>
              <w:rPr>
                <w:sz w:val="22"/>
                <w:szCs w:val="22"/>
              </w:rPr>
            </w:pPr>
            <w:r w:rsidRPr="00867F62">
              <w:rPr>
                <w:sz w:val="22"/>
                <w:szCs w:val="22"/>
              </w:rPr>
              <w:t xml:space="preserve">Jateamento e pintura especial para poliestireno; Montagem das estruturas sobre piso de concreto, fixada com </w:t>
            </w:r>
            <w:proofErr w:type="spellStart"/>
            <w:r w:rsidRPr="00867F62">
              <w:rPr>
                <w:sz w:val="22"/>
                <w:szCs w:val="22"/>
              </w:rPr>
              <w:t>parabolt</w:t>
            </w:r>
            <w:proofErr w:type="spellEnd"/>
            <w:r w:rsidRPr="00867F62">
              <w:rPr>
                <w:sz w:val="22"/>
                <w:szCs w:val="22"/>
              </w:rPr>
              <w:t>;</w:t>
            </w:r>
          </w:p>
          <w:p w:rsidR="00EF30C0" w:rsidRPr="00867F62" w:rsidRDefault="00EF30C0" w:rsidP="00867F62">
            <w:pPr>
              <w:pStyle w:val="Contedodatabela"/>
              <w:numPr>
                <w:ilvl w:val="0"/>
                <w:numId w:val="4"/>
              </w:numPr>
              <w:jc w:val="both"/>
              <w:rPr>
                <w:sz w:val="22"/>
                <w:szCs w:val="22"/>
              </w:rPr>
            </w:pPr>
            <w:r w:rsidRPr="00867F62">
              <w:rPr>
                <w:sz w:val="22"/>
                <w:szCs w:val="22"/>
              </w:rPr>
              <w:t>Transporte dos brinquedos;</w:t>
            </w:r>
          </w:p>
          <w:p w:rsidR="00EF30C0" w:rsidRPr="00867F62" w:rsidRDefault="00EF30C0" w:rsidP="00867F62">
            <w:pPr>
              <w:pStyle w:val="Contedodatabela"/>
              <w:numPr>
                <w:ilvl w:val="0"/>
                <w:numId w:val="4"/>
              </w:numPr>
              <w:jc w:val="both"/>
              <w:rPr>
                <w:sz w:val="22"/>
                <w:szCs w:val="22"/>
              </w:rPr>
            </w:pPr>
            <w:r w:rsidRPr="00867F62">
              <w:rPr>
                <w:sz w:val="22"/>
                <w:szCs w:val="22"/>
              </w:rPr>
              <w:t xml:space="preserve">Troca das coberturas para telhado semelhante ao da locomotiva; </w:t>
            </w:r>
          </w:p>
          <w:p w:rsidR="00EF30C0" w:rsidRPr="00867F62" w:rsidRDefault="00EF30C0" w:rsidP="00867F62">
            <w:pPr>
              <w:pStyle w:val="Contedodatabela"/>
              <w:numPr>
                <w:ilvl w:val="0"/>
                <w:numId w:val="4"/>
              </w:numPr>
              <w:jc w:val="both"/>
              <w:rPr>
                <w:sz w:val="22"/>
                <w:szCs w:val="22"/>
              </w:rPr>
            </w:pPr>
            <w:r w:rsidRPr="00867F62">
              <w:rPr>
                <w:sz w:val="22"/>
                <w:szCs w:val="22"/>
              </w:rPr>
              <w:t xml:space="preserve">Acoplagem da locomotiva na torre sextavada através de 04 chapa de união metálica medindo 250x150mm. </w:t>
            </w:r>
          </w:p>
          <w:p w:rsidR="00EF30C0" w:rsidRPr="00867F62" w:rsidRDefault="00EF30C0" w:rsidP="00867F62">
            <w:pPr>
              <w:pStyle w:val="Contedodatabela"/>
              <w:numPr>
                <w:ilvl w:val="0"/>
                <w:numId w:val="4"/>
              </w:numPr>
              <w:jc w:val="both"/>
              <w:rPr>
                <w:sz w:val="22"/>
                <w:szCs w:val="22"/>
              </w:rPr>
            </w:pPr>
            <w:r w:rsidRPr="00867F62">
              <w:rPr>
                <w:sz w:val="22"/>
                <w:szCs w:val="22"/>
              </w:rPr>
              <w:t xml:space="preserve">Fixada com parafusos 10mm com porcas e arruelas zincadas; </w:t>
            </w:r>
          </w:p>
        </w:tc>
        <w:tc>
          <w:tcPr>
            <w:tcW w:w="1276" w:type="dxa"/>
          </w:tcPr>
          <w:p w:rsidR="00EF30C0" w:rsidRPr="00867F62" w:rsidRDefault="00EF30C0" w:rsidP="00867F62">
            <w:pPr>
              <w:pStyle w:val="Contedodatabela"/>
              <w:jc w:val="center"/>
              <w:rPr>
                <w:sz w:val="22"/>
                <w:szCs w:val="22"/>
              </w:rPr>
            </w:pPr>
            <w:r w:rsidRPr="00867F62">
              <w:rPr>
                <w:sz w:val="22"/>
                <w:szCs w:val="22"/>
              </w:rPr>
              <w:t>1,0</w:t>
            </w:r>
          </w:p>
        </w:tc>
        <w:tc>
          <w:tcPr>
            <w:tcW w:w="992" w:type="dxa"/>
          </w:tcPr>
          <w:p w:rsidR="00EF30C0" w:rsidRPr="00867F62" w:rsidRDefault="00EF30C0" w:rsidP="00867F62">
            <w:pPr>
              <w:pStyle w:val="Contedodatabela"/>
              <w:jc w:val="center"/>
              <w:rPr>
                <w:sz w:val="22"/>
                <w:szCs w:val="22"/>
              </w:rPr>
            </w:pPr>
            <w:proofErr w:type="spellStart"/>
            <w:r w:rsidRPr="00867F62">
              <w:rPr>
                <w:sz w:val="22"/>
                <w:szCs w:val="22"/>
              </w:rPr>
              <w:t>Und</w:t>
            </w:r>
            <w:proofErr w:type="spellEnd"/>
          </w:p>
        </w:tc>
        <w:tc>
          <w:tcPr>
            <w:tcW w:w="1559" w:type="dxa"/>
          </w:tcPr>
          <w:p w:rsidR="00EF30C0" w:rsidRPr="00867F62" w:rsidRDefault="00EF30C0" w:rsidP="00867F62">
            <w:pPr>
              <w:pStyle w:val="Contedodatabela"/>
              <w:jc w:val="right"/>
              <w:rPr>
                <w:sz w:val="22"/>
                <w:szCs w:val="22"/>
              </w:rPr>
            </w:pPr>
            <w:r w:rsidRPr="00867F62">
              <w:rPr>
                <w:sz w:val="22"/>
                <w:szCs w:val="22"/>
              </w:rPr>
              <w:t>R$ 14.666,67</w:t>
            </w:r>
          </w:p>
        </w:tc>
      </w:tr>
      <w:tr w:rsidR="00EF30C0" w:rsidRPr="00867F62" w:rsidTr="00EF30C0">
        <w:tc>
          <w:tcPr>
            <w:tcW w:w="554" w:type="dxa"/>
          </w:tcPr>
          <w:p w:rsidR="00EF30C0" w:rsidRPr="00867F62" w:rsidRDefault="00EF30C0" w:rsidP="00867F62">
            <w:pPr>
              <w:pStyle w:val="Contedodatabela"/>
              <w:jc w:val="center"/>
              <w:rPr>
                <w:sz w:val="22"/>
                <w:szCs w:val="22"/>
              </w:rPr>
            </w:pPr>
          </w:p>
        </w:tc>
        <w:tc>
          <w:tcPr>
            <w:tcW w:w="580" w:type="dxa"/>
          </w:tcPr>
          <w:p w:rsidR="00EF30C0" w:rsidRPr="00867F62" w:rsidRDefault="00EF30C0" w:rsidP="00867F62">
            <w:pPr>
              <w:pStyle w:val="Contedodatabela"/>
              <w:jc w:val="center"/>
              <w:rPr>
                <w:sz w:val="22"/>
                <w:szCs w:val="22"/>
              </w:rPr>
            </w:pPr>
          </w:p>
        </w:tc>
        <w:tc>
          <w:tcPr>
            <w:tcW w:w="4820" w:type="dxa"/>
          </w:tcPr>
          <w:p w:rsidR="00EF30C0" w:rsidRPr="00867F62" w:rsidRDefault="00EF30C0" w:rsidP="00867F62">
            <w:pPr>
              <w:pStyle w:val="Contedodatabela"/>
              <w:jc w:val="both"/>
              <w:rPr>
                <w:sz w:val="22"/>
                <w:szCs w:val="22"/>
              </w:rPr>
            </w:pPr>
          </w:p>
        </w:tc>
        <w:tc>
          <w:tcPr>
            <w:tcW w:w="1276" w:type="dxa"/>
          </w:tcPr>
          <w:p w:rsidR="00EF30C0" w:rsidRPr="00867F62" w:rsidRDefault="00EF30C0" w:rsidP="00867F62">
            <w:pPr>
              <w:pStyle w:val="Contedodatabela"/>
              <w:jc w:val="center"/>
              <w:rPr>
                <w:sz w:val="22"/>
                <w:szCs w:val="22"/>
              </w:rPr>
            </w:pPr>
          </w:p>
        </w:tc>
        <w:tc>
          <w:tcPr>
            <w:tcW w:w="992" w:type="dxa"/>
          </w:tcPr>
          <w:p w:rsidR="00EF30C0" w:rsidRPr="00867F62" w:rsidRDefault="00EF30C0" w:rsidP="00867F62">
            <w:pPr>
              <w:pStyle w:val="Contedodatabela"/>
              <w:jc w:val="center"/>
              <w:rPr>
                <w:b/>
                <w:sz w:val="22"/>
                <w:szCs w:val="22"/>
              </w:rPr>
            </w:pPr>
            <w:r w:rsidRPr="00867F62">
              <w:rPr>
                <w:b/>
                <w:sz w:val="22"/>
                <w:szCs w:val="22"/>
              </w:rPr>
              <w:t>TOTAL</w:t>
            </w:r>
          </w:p>
        </w:tc>
        <w:tc>
          <w:tcPr>
            <w:tcW w:w="1559" w:type="dxa"/>
          </w:tcPr>
          <w:p w:rsidR="00EF30C0" w:rsidRPr="00867F62" w:rsidRDefault="00EF30C0" w:rsidP="00867F62">
            <w:pPr>
              <w:pStyle w:val="Contedodatabela"/>
              <w:jc w:val="right"/>
              <w:rPr>
                <w:b/>
                <w:sz w:val="22"/>
                <w:szCs w:val="22"/>
              </w:rPr>
            </w:pPr>
            <w:r w:rsidRPr="00867F62">
              <w:rPr>
                <w:b/>
                <w:sz w:val="22"/>
                <w:szCs w:val="22"/>
              </w:rPr>
              <w:t>R$ 54.666,67</w:t>
            </w:r>
          </w:p>
        </w:tc>
      </w:tr>
    </w:tbl>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2. DA APRESENTAÇÃO DOS ENVELOPES: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AO MUNICÍPIO DE VIADUTOS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EDITAL DE PREGÃO Nº 46/2025</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ENVELOPE Nº 01 – PROPOSTA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PROPONENTE (NOME COMPLETO)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AO MUNICÍPIO DE VIADUTOS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EDITAL DE PREGÃO Nº 46/2025</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ENVELOPE Nº 02 – DOCUMENTAÇÃO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PROPONENTE (NOME COMPLETO)</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3. DA REPRESENTAÇÃO E DO CREDENCIAMENTO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3.1.1. A identificação será realizada, exclusivamente, através da apresentação de documento de identidade.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3.2. A documentação referente ao credenciamento de que trata o item 3.1 deverá ser apresentada fora dos envelopes.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3.3. O credenciamento será efetuado da seguinte forma: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se representada diretamente, por meio de dirigente, proprietário, sócio ou assemelhado, deverá apresentar:</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a.1) cópia do respectivo Estatuto ou Contrato Social em vigor, devidamente registrado;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a.2) documento de eleição de seus administradores, em se tratando de sociedade comercial ou de sociedade por ações;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a.3) inscrição do ato constitutivo, acompanhado de prova de diretoria em exercício, no caso de sociedade civil;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lastRenderedPageBreak/>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a.5) registro comercial, se empresa individual.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se representada por procurador, deverá apresentar:</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4. DO RECEBIMENTO E ABERTURA DOS ENVELOPES: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4.2. Uma vez encerrado o prazo para a entrega dos envelopes acima referidos, não será aceita a participação de nenhuma licitante retardatária.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4.3. O pregoeiro realizará o credenciamento das interessadas, as quais deverão: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comprovar, por meio de instrumento próprio, poderes para formulação de ofertas e lances verbais, bem como para a prática dos demais atos do certame;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apresentar, ainda, declaração de que cumprem plenamente os requisitos de habilitação.</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5. DA PROPOSTA DE PREÇO: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5.1. A proposta, cujo prazo de validade é fixado pela Administração em </w:t>
      </w:r>
      <w:r w:rsidR="00EF30C0" w:rsidRPr="00867F62">
        <w:rPr>
          <w:rFonts w:ascii="Times New Roman" w:hAnsi="Times New Roman" w:cs="Times New Roman"/>
          <w:sz w:val="22"/>
          <w:szCs w:val="22"/>
        </w:rPr>
        <w:t>60</w:t>
      </w:r>
      <w:r w:rsidR="00EF30C0" w:rsidRPr="00867F62">
        <w:rPr>
          <w:rFonts w:ascii="Times New Roman" w:hAnsi="Times New Roman" w:cs="Times New Roman"/>
          <w:color w:val="C9211E"/>
          <w:sz w:val="22"/>
          <w:szCs w:val="22"/>
        </w:rPr>
        <w:t xml:space="preserve"> </w:t>
      </w:r>
      <w:r w:rsidRPr="00867F62">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razão social da empresa;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descrição completa do produto ofertado, marca, referências e demais dados técnicos;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sz w:val="22"/>
          <w:szCs w:val="22"/>
        </w:rPr>
      </w:pPr>
      <w:r w:rsidRPr="00867F62">
        <w:rPr>
          <w:rFonts w:ascii="Times New Roman" w:hAnsi="Times New Roman" w:cs="Times New Roman"/>
          <w:b/>
          <w:sz w:val="22"/>
          <w:szCs w:val="22"/>
        </w:rPr>
        <w:lastRenderedPageBreak/>
        <w:t>6. DO JULGAMENTO DAS PROPOSTAS: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6.2. Caso duas ou mais propostas iniciais apresentem preços iguais, será realizado sorteio para determinação da ordem de oferta dos lances.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6.3. A oferta dos lances deverá ser efetuada no momento em que for conferida a palavra à licitante, obedecida a ordem prevista nos itens 6.1 e 6.2.</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6.3.1. Dada a palavra a licitante, esta disporá de 30 s (trinta segundos) para apresentar nova proposta.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6.4. É vedada a oferta de lance com vista ao empate.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6.5. Não poderá haver desistência dos lances já ofertados, sujeitando-se a proponente desistente às penalidades constantes neste edital.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6.8. O encerramento da etapa competitiva dar-se-á quando, convocadas pelo pregoeiro, as licitantes manifestarem seu desinteresse em apresentar novos lances.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6.11. Serão desclassificadas as propostas que: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não atenderem às exigências contidas no objeto desta licitação;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forem omissas em pontos essenciais, de modo a ensejar dúvidas;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afrontem qualquer dispositivo legal vigente, bem como as que não atenderem aos requisitos do item 5;</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contiverem opções de preços alternativos ou que apresentarem preços manifestamente inexequíveis.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6.12. Não serão consideradas, para julgamento das propostas, vantagens não previstas no edital.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867F62">
        <w:rPr>
          <w:rFonts w:ascii="Times New Roman" w:hAnsi="Times New Roman" w:cs="Times New Roman"/>
          <w:sz w:val="22"/>
          <w:szCs w:val="22"/>
        </w:rPr>
        <w:t>3.5.,</w:t>
      </w:r>
      <w:proofErr w:type="gramEnd"/>
      <w:r w:rsidRPr="00867F62">
        <w:rPr>
          <w:rFonts w:ascii="Times New Roman" w:hAnsi="Times New Roman" w:cs="Times New Roman"/>
          <w:sz w:val="22"/>
          <w:szCs w:val="22"/>
        </w:rPr>
        <w:t xml:space="preserve"> deste edital.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6.14. Ocorrendo o empate, na forma do item anterior, proceder-se-á da seguinte forma: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7. DOCUMENTOS DE HABILITAÇÃO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Para fins de habilitação neste pregão, a licitante deverá apresentar, dentro do ENVELOPE Nº 02, os seguintes documentos:</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7.1. HABILITAÇÃO JURÍDICA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cópia do registro comercial, no caso de empresa individual;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7.2. HABILITAÇÃO FISCAL, SOCIAL E TRABALHISTA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comprovante de inscrição no Cadastro de Pessoas Físicas (CPF) ou no Cadastro Nacional da Pessoa Jurídica (CNPJ);</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prova de regularidade perante a Fazenda federal, estadual e municipal do domicílio ou sede do licitante;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d) prova de regularidade relativa à Seguridade Social e ao FGTS, que demonstre cumprimento dos encargos sociais instituídos por lei;</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e) prova de regularidade perante a Justiça do Trabalho;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f) declaração de cumprimento do disposto no inciso XXXIII do </w:t>
      </w:r>
      <w:r w:rsidR="00EF30C0" w:rsidRPr="00867F62">
        <w:rPr>
          <w:rFonts w:ascii="Times New Roman" w:hAnsi="Times New Roman" w:cs="Times New Roman"/>
          <w:sz w:val="22"/>
          <w:szCs w:val="22"/>
        </w:rPr>
        <w:t>art. 7º da Constituição Federal,</w:t>
      </w:r>
      <w:r w:rsidRPr="00867F62">
        <w:rPr>
          <w:rFonts w:ascii="Times New Roman" w:hAnsi="Times New Roman" w:cs="Times New Roman"/>
          <w:sz w:val="22"/>
          <w:szCs w:val="22"/>
        </w:rPr>
        <w:t xml:space="preserve"> conforme o modelo do Decreto Federal n° 4.358/2002.</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7.3. HABILITAÇÃO ECONÔMICO-FINANCEIRA: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A3743B" w:rsidRPr="00867F62" w:rsidRDefault="00A3743B" w:rsidP="00867F62">
      <w:pPr>
        <w:pStyle w:val="Standard"/>
        <w:jc w:val="both"/>
        <w:rPr>
          <w:rFonts w:ascii="Times New Roman" w:hAnsi="Times New Roman" w:cs="Times New Roman"/>
          <w:sz w:val="22"/>
          <w:szCs w:val="22"/>
        </w:rPr>
      </w:pPr>
    </w:p>
    <w:p w:rsidR="00EF30C0" w:rsidRPr="00867F62" w:rsidRDefault="00EF30C0" w:rsidP="00867F62">
      <w:pPr>
        <w:pStyle w:val="Standard"/>
        <w:jc w:val="both"/>
        <w:rPr>
          <w:rFonts w:ascii="Times New Roman" w:hAnsi="Times New Roman" w:cs="Times New Roman"/>
          <w:b/>
          <w:sz w:val="22"/>
          <w:szCs w:val="22"/>
        </w:rPr>
      </w:pPr>
      <w:r w:rsidRPr="00867F62">
        <w:rPr>
          <w:rFonts w:ascii="Times New Roman" w:hAnsi="Times New Roman" w:cs="Times New Roman"/>
          <w:b/>
          <w:sz w:val="22"/>
          <w:szCs w:val="22"/>
        </w:rPr>
        <w:t>7.4. HABILITAÇÃO TÉCNICA</w:t>
      </w:r>
    </w:p>
    <w:p w:rsidR="00421A2D" w:rsidRPr="00867F62" w:rsidRDefault="00421A2D"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a) Atestado de Capacidade Técnica que demonstre a capacidade operacional na execução de serviços similares de complexidade tecnológica e operacional equivalente ou superior, emitidos por órgãos da Administração pública ou pessoa jurídica de direito privado, com a identificação adequada das partes. </w:t>
      </w:r>
    </w:p>
    <w:p w:rsidR="00421A2D" w:rsidRPr="00867F62" w:rsidRDefault="00421A2D"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b) Declaração do fabricante ou laudo técnico que comprove observância às normas da ABNT aplicáveis aos playgrounds, em especial a NBR 16071. </w:t>
      </w:r>
    </w:p>
    <w:p w:rsidR="00EF30C0" w:rsidRPr="00867F62" w:rsidRDefault="00421A2D" w:rsidP="00867F62">
      <w:pPr>
        <w:pStyle w:val="Standard"/>
        <w:jc w:val="both"/>
        <w:rPr>
          <w:rFonts w:ascii="Times New Roman" w:hAnsi="Times New Roman" w:cs="Times New Roman"/>
          <w:b/>
          <w:sz w:val="22"/>
          <w:szCs w:val="22"/>
        </w:rPr>
      </w:pPr>
      <w:r w:rsidRPr="00867F62">
        <w:rPr>
          <w:rFonts w:ascii="Times New Roman" w:hAnsi="Times New Roman" w:cs="Times New Roman"/>
          <w:sz w:val="22"/>
          <w:szCs w:val="22"/>
        </w:rPr>
        <w:t>c) Documento comprobatório, declaração ou similar que atende aos normativos ambientais específicos, em especial a Lei Federal nº 12.305/2010 (Política Nacional de Resíduos Sólidos) e a Lei Estadual nº 18.031/2009 (Política Estadual de Resíduos Sólidos);</w:t>
      </w:r>
    </w:p>
    <w:p w:rsidR="00421A2D" w:rsidRPr="00867F62" w:rsidRDefault="00421A2D"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d) Comprovação de utilização de materiais de longa durabilidade e de origem regular, de forma a reduzir impactos ambientais decorrentes do descarte precoce </w:t>
      </w:r>
    </w:p>
    <w:p w:rsidR="00EF30C0" w:rsidRPr="00867F62" w:rsidRDefault="00421A2D"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e) Compromisso formal da empresa contratada quanto à destinação ambientalmente adequada de todos os resíduos eventualmente gerados durante a instalação dos equipamentos, mediante documento comprobatório, declaração ou similar</w:t>
      </w:r>
      <w:r w:rsidR="00AB3D48" w:rsidRPr="00867F62">
        <w:rPr>
          <w:rFonts w:ascii="Times New Roman" w:hAnsi="Times New Roman" w:cs="Times New Roman"/>
          <w:sz w:val="22"/>
          <w:szCs w:val="22"/>
        </w:rPr>
        <w:t>.</w:t>
      </w:r>
    </w:p>
    <w:p w:rsidR="00421A2D" w:rsidRPr="00867F62" w:rsidRDefault="00421A2D" w:rsidP="00867F62">
      <w:pPr>
        <w:pStyle w:val="Standard"/>
        <w:jc w:val="both"/>
        <w:rPr>
          <w:rFonts w:ascii="Times New Roman" w:hAnsi="Times New Roman" w:cs="Times New Roman"/>
          <w:color w:val="FF0000"/>
          <w:sz w:val="22"/>
          <w:szCs w:val="22"/>
        </w:rPr>
      </w:pP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atualização de documentos cuja validade tenha expirado após a data de recebimento das propostas.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8. GARANTIA DE PROPOSTA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8.1 Devido </w:t>
      </w:r>
      <w:proofErr w:type="spellStart"/>
      <w:r w:rsidRPr="00867F62">
        <w:rPr>
          <w:rFonts w:ascii="Times New Roman" w:hAnsi="Times New Roman" w:cs="Times New Roman"/>
          <w:sz w:val="22"/>
          <w:szCs w:val="22"/>
        </w:rPr>
        <w:t>a</w:t>
      </w:r>
      <w:proofErr w:type="spellEnd"/>
      <w:r w:rsidRPr="00867F62">
        <w:rPr>
          <w:rFonts w:ascii="Times New Roman" w:hAnsi="Times New Roman" w:cs="Times New Roman"/>
          <w:sz w:val="22"/>
          <w:szCs w:val="22"/>
        </w:rPr>
        <w:t xml:space="preserve"> baixa complexidade dos itens não será exigida garantia da proposta.</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9. VEDAÇÕES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9.1 Não poderão disputar licitação ou participar da execução de contrato, direta ou indiretamente: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empresas controladoras, controladas ou coligadas, nos termos da Lei nº 6.404, de 15 de dezembro de 1976, concorrendo entre si;</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10. VERIFICAÇÃO DA HABILITAÇÃO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11. RECURSO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11.1. Caberá recurso, no prazo de 3 (três) dias úteis, contado da data de intimação ou de lavratura da ata, em face de: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ato que defira ou indefira pedido de pré-qualificação de interessado ou de inscrição em registro cadastral, sua alteração ou cancelamento;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julgamento das propostas;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ato de habilitação ou inabilitação de licitante;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d) anulação ou revogação da licitação.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11.3. Quanto ao recurso apresentado em virtude do disposto </w:t>
      </w:r>
      <w:proofErr w:type="spellStart"/>
      <w:r w:rsidRPr="00867F62">
        <w:rPr>
          <w:rFonts w:ascii="Times New Roman" w:hAnsi="Times New Roman" w:cs="Times New Roman"/>
          <w:sz w:val="22"/>
          <w:szCs w:val="22"/>
        </w:rPr>
        <w:t>nas</w:t>
      </w:r>
      <w:proofErr w:type="spellEnd"/>
      <w:r w:rsidRPr="00867F62">
        <w:rPr>
          <w:rFonts w:ascii="Times New Roman" w:hAnsi="Times New Roman" w:cs="Times New Roman"/>
          <w:sz w:val="22"/>
          <w:szCs w:val="22"/>
        </w:rPr>
        <w:t xml:space="preserve"> alíneas “b” e “c” do item 11.1 do presente Edital, serão observadas as seguintes disposições: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a apreciação dar-se-á em fase única.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11.5. O acolhimento do recurso implicará invalidação apenas de ato insuscetível de aproveitamento.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11.6. O recurso interposto dará efeito suspensivo ao ato ou à decisão recorrida, até que sobrevenha decisão final da autoridade competente.</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12. ENCERRAMENTO DA LICITAÇÃO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determinar o retorno dos autos para saneamento de irregularidades;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revogar a licitação por motivo de conveniência e oportunidade;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proceder à anulação da licitação, de ofício ou mediante provocação de terceiros, sempre que presente ilegalidade insanável;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d) adjudicar o objeto e homologar a licitação.</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13. CONDIÇÕES DE CONTRATAÇÃO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 xml:space="preserve">14. VIGÊNCIA DO CONTRATO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14.1. A vigência será de acordo com o disposto no documento do contrato.</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15. PRAZOS E CONDIÇÕES DE PAGAMENTO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3212"/>
        <w:gridCol w:w="3212"/>
        <w:gridCol w:w="3357"/>
      </w:tblGrid>
      <w:tr w:rsidR="00A3743B" w:rsidRPr="00867F62" w:rsidTr="00421A2D">
        <w:trPr>
          <w:jc w:val="center"/>
        </w:trPr>
        <w:tc>
          <w:tcPr>
            <w:tcW w:w="3212" w:type="dxa"/>
          </w:tcPr>
          <w:p w:rsidR="00A3743B" w:rsidRPr="00867F62" w:rsidRDefault="001800F4" w:rsidP="00867F62">
            <w:pPr>
              <w:pStyle w:val="Contedodatabela"/>
              <w:jc w:val="center"/>
              <w:rPr>
                <w:b/>
                <w:bCs/>
                <w:sz w:val="22"/>
                <w:szCs w:val="22"/>
              </w:rPr>
            </w:pPr>
            <w:r w:rsidRPr="00867F62">
              <w:rPr>
                <w:b/>
                <w:bCs/>
                <w:sz w:val="22"/>
                <w:szCs w:val="22"/>
              </w:rPr>
              <w:t>Dotação</w:t>
            </w:r>
          </w:p>
        </w:tc>
        <w:tc>
          <w:tcPr>
            <w:tcW w:w="3212" w:type="dxa"/>
          </w:tcPr>
          <w:p w:rsidR="00A3743B" w:rsidRPr="00867F62" w:rsidRDefault="001800F4" w:rsidP="00867F62">
            <w:pPr>
              <w:pStyle w:val="Contedodatabela"/>
              <w:jc w:val="center"/>
              <w:rPr>
                <w:b/>
                <w:bCs/>
                <w:sz w:val="22"/>
                <w:szCs w:val="22"/>
              </w:rPr>
            </w:pPr>
            <w:r w:rsidRPr="00867F62">
              <w:rPr>
                <w:b/>
                <w:bCs/>
                <w:sz w:val="22"/>
                <w:szCs w:val="22"/>
              </w:rPr>
              <w:t>Elemento</w:t>
            </w:r>
          </w:p>
        </w:tc>
        <w:tc>
          <w:tcPr>
            <w:tcW w:w="3357" w:type="dxa"/>
          </w:tcPr>
          <w:p w:rsidR="00A3743B" w:rsidRPr="00867F62" w:rsidRDefault="001800F4" w:rsidP="00867F62">
            <w:pPr>
              <w:pStyle w:val="Contedodatabela"/>
              <w:jc w:val="center"/>
              <w:rPr>
                <w:b/>
                <w:bCs/>
                <w:sz w:val="22"/>
                <w:szCs w:val="22"/>
              </w:rPr>
            </w:pPr>
            <w:r w:rsidRPr="00867F62">
              <w:rPr>
                <w:b/>
                <w:bCs/>
                <w:sz w:val="22"/>
                <w:szCs w:val="22"/>
              </w:rPr>
              <w:t>Vinculado</w:t>
            </w:r>
          </w:p>
        </w:tc>
      </w:tr>
      <w:tr w:rsidR="00A3743B" w:rsidRPr="00867F62" w:rsidTr="00421A2D">
        <w:trPr>
          <w:jc w:val="center"/>
        </w:trPr>
        <w:tc>
          <w:tcPr>
            <w:tcW w:w="3212" w:type="dxa"/>
          </w:tcPr>
          <w:p w:rsidR="00A3743B" w:rsidRPr="00867F62" w:rsidRDefault="001800F4" w:rsidP="00867F62">
            <w:pPr>
              <w:pStyle w:val="Contedodatabela"/>
              <w:jc w:val="center"/>
              <w:rPr>
                <w:sz w:val="22"/>
                <w:szCs w:val="22"/>
              </w:rPr>
            </w:pPr>
            <w:r w:rsidRPr="00867F62">
              <w:rPr>
                <w:sz w:val="22"/>
                <w:szCs w:val="22"/>
              </w:rPr>
              <w:t>3344</w:t>
            </w:r>
          </w:p>
        </w:tc>
        <w:tc>
          <w:tcPr>
            <w:tcW w:w="3212" w:type="dxa"/>
          </w:tcPr>
          <w:p w:rsidR="00A3743B" w:rsidRPr="00867F62" w:rsidRDefault="001800F4" w:rsidP="00867F62">
            <w:pPr>
              <w:pStyle w:val="Contedodatabela"/>
              <w:jc w:val="center"/>
              <w:rPr>
                <w:sz w:val="22"/>
                <w:szCs w:val="22"/>
              </w:rPr>
            </w:pPr>
            <w:r w:rsidRPr="00867F62">
              <w:rPr>
                <w:sz w:val="22"/>
                <w:szCs w:val="22"/>
              </w:rPr>
              <w:t>449051990700</w:t>
            </w:r>
          </w:p>
        </w:tc>
        <w:tc>
          <w:tcPr>
            <w:tcW w:w="3357" w:type="dxa"/>
          </w:tcPr>
          <w:p w:rsidR="00A3743B" w:rsidRPr="00867F62" w:rsidRDefault="001800F4" w:rsidP="00867F62">
            <w:pPr>
              <w:pStyle w:val="Contedodatabela"/>
              <w:jc w:val="center"/>
              <w:rPr>
                <w:sz w:val="22"/>
                <w:szCs w:val="22"/>
              </w:rPr>
            </w:pPr>
            <w:r w:rsidRPr="00867F62">
              <w:rPr>
                <w:sz w:val="22"/>
                <w:szCs w:val="22"/>
              </w:rPr>
              <w:t>2500</w:t>
            </w:r>
          </w:p>
        </w:tc>
      </w:tr>
    </w:tbl>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15.3. O pagamento será efetuado no prazo de máximo de 10 dias</w:t>
      </w:r>
      <w:r w:rsidR="00421A2D" w:rsidRPr="00867F62">
        <w:rPr>
          <w:rFonts w:ascii="Times New Roman" w:hAnsi="Times New Roman" w:cs="Times New Roman"/>
          <w:sz w:val="22"/>
          <w:szCs w:val="22"/>
        </w:rPr>
        <w:t xml:space="preserve"> após a prestação dos serviços.</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16. RECEBIMENTO DO OBJETO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16.3. O prazo de entrega integral dos produtos é de</w:t>
      </w:r>
      <w:r w:rsidR="0059259B" w:rsidRPr="00867F62">
        <w:rPr>
          <w:rFonts w:ascii="Times New Roman" w:hAnsi="Times New Roman" w:cs="Times New Roman"/>
          <w:color w:val="FF0000"/>
          <w:sz w:val="22"/>
          <w:szCs w:val="22"/>
        </w:rPr>
        <w:t xml:space="preserve"> </w:t>
      </w:r>
      <w:r w:rsidR="0059259B" w:rsidRPr="00867F62">
        <w:rPr>
          <w:rFonts w:ascii="Times New Roman" w:hAnsi="Times New Roman" w:cs="Times New Roman"/>
          <w:sz w:val="22"/>
          <w:szCs w:val="22"/>
        </w:rPr>
        <w:t>30 dias</w:t>
      </w:r>
      <w:r w:rsidRPr="00867F62">
        <w:rPr>
          <w:rFonts w:ascii="Times New Roman" w:hAnsi="Times New Roman" w:cs="Times New Roman"/>
          <w:sz w:val="22"/>
          <w:szCs w:val="22"/>
        </w:rPr>
        <w:t>, a contar da emissão da ordem de fornecimento.</w:t>
      </w:r>
    </w:p>
    <w:p w:rsidR="00421A2D"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16.2. Os materiais</w:t>
      </w:r>
      <w:r w:rsidR="00421A2D" w:rsidRPr="00867F62">
        <w:rPr>
          <w:rFonts w:ascii="Times New Roman" w:hAnsi="Times New Roman" w:cs="Times New Roman"/>
          <w:sz w:val="22"/>
          <w:szCs w:val="22"/>
        </w:rPr>
        <w:t>/serviços</w:t>
      </w:r>
      <w:r w:rsidRPr="00867F62">
        <w:rPr>
          <w:rFonts w:ascii="Times New Roman" w:hAnsi="Times New Roman" w:cs="Times New Roman"/>
          <w:sz w:val="22"/>
          <w:szCs w:val="22"/>
        </w:rPr>
        <w:t xml:space="preserve"> deverão ser entregues</w:t>
      </w:r>
      <w:r w:rsidR="00421A2D" w:rsidRPr="00867F62">
        <w:rPr>
          <w:rFonts w:ascii="Times New Roman" w:hAnsi="Times New Roman" w:cs="Times New Roman"/>
          <w:sz w:val="22"/>
          <w:szCs w:val="22"/>
        </w:rPr>
        <w:t>/executados na PRAÇA DA MATRIZ - PRAÇA IZIDORO JOSÉ BRANCHER</w:t>
      </w:r>
      <w:r w:rsidRPr="00867F62">
        <w:rPr>
          <w:rFonts w:ascii="Times New Roman" w:hAnsi="Times New Roman" w:cs="Times New Roman"/>
          <w:sz w:val="22"/>
          <w:szCs w:val="22"/>
        </w:rPr>
        <w:t xml:space="preserve">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16.5. A nota fiscal/fatura deverá, obrigatoriamente, ser entregue junto com o seu objeto.</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17. SANÇÕES ADMINISTRATIVAS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17.1. O licitante ou o contratado será responsabilizado administrativamente pelas seguintes infrações: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dar causa à inexecução parcial do contrato;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dar causa à inexecução total do contrato;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d) deixar de entregar a documentação exigida para o certame;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e) não manter a proposta, salvo em decorrência de fato superveniente devidamente justificado;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f) não celebrar o contrato ou não entregar a documentação exigida para a contratação, quando convocado dentro do prazo de validade de sua proposta;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g) ensejar o retardamento da execução ou da entrega do objeto da licitação sem motivo justificado;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i) fraudar a licitação ou praticar ato fraudulento na execução do contrato;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j) comportar-se de modo inidôneo ou cometer fraude de qualquer natureza;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k) praticar atos ilícitos com vistas a frustrar os objetivos da licitação;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l) praticar ato lesivo previsto no art. 5º da Lei nº 12.846, de 1º de agosto de 2013.</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17.2. Serão aplicadas ao responsável pelas infrações administrativas previstas no item 17.1 deste edital as seguintes sanções: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advertência;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multa de no mínimo 0,5% (cinco décimos por cento) e máximo de 30% (trinta por cento) do valor do objeto licitado ou contratado;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impedimento de licitar e contratar, no âmbito da Administração Pública direta e indireta do órgão licitante, pelo prazo máximo de 3 (três) anos.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17.3 As sanções previstas nas alíneas “a”, “c” e “d” do item 17.2. </w:t>
      </w:r>
      <w:proofErr w:type="gramStart"/>
      <w:r w:rsidRPr="00867F62">
        <w:rPr>
          <w:rFonts w:ascii="Times New Roman" w:hAnsi="Times New Roman" w:cs="Times New Roman"/>
          <w:sz w:val="22"/>
          <w:szCs w:val="22"/>
        </w:rPr>
        <w:t>do</w:t>
      </w:r>
      <w:proofErr w:type="gramEnd"/>
      <w:r w:rsidRPr="00867F62">
        <w:rPr>
          <w:rFonts w:ascii="Times New Roman" w:hAnsi="Times New Roman" w:cs="Times New Roman"/>
          <w:sz w:val="22"/>
          <w:szCs w:val="22"/>
        </w:rPr>
        <w:t xml:space="preserve"> presente Edital poderão ser aplicadas cumulativamente com a prevista na alínea “b” do mesmo item.</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17.6. A aplicação das sanções previstas no item 17.2. </w:t>
      </w:r>
      <w:proofErr w:type="gramStart"/>
      <w:r w:rsidRPr="00867F62">
        <w:rPr>
          <w:rFonts w:ascii="Times New Roman" w:hAnsi="Times New Roman" w:cs="Times New Roman"/>
          <w:sz w:val="22"/>
          <w:szCs w:val="22"/>
        </w:rPr>
        <w:t>deste</w:t>
      </w:r>
      <w:proofErr w:type="gramEnd"/>
      <w:r w:rsidRPr="00867F62">
        <w:rPr>
          <w:rFonts w:ascii="Times New Roman" w:hAnsi="Times New Roman" w:cs="Times New Roman"/>
          <w:sz w:val="22"/>
          <w:szCs w:val="22"/>
        </w:rPr>
        <w:t xml:space="preserve"> Edital não exclui, em hipótese alguma, a obrigação de reparação integral do dano causado à Administração Pública.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17.10. Serão indeferidas pela comissão, mediante decisão fundamentada, provas ilícitas, impertinentes, desnecessárias, protelatórias ou intempestivas.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17.12. É admitida a reabilitação do licitante ou contratado perante a própria autoridade que aplicou a penalidade, exigidos, cumulativamente: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reparação integral do dano causado à Administração Pública;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pagamento da multa;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d) cumprimento das condições de reabilitação definidas no ato punitivo;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e) análise jurídica prévia, com posicionamento conclusivo quanto ao cumprimento dos requisitos definidos neste artigo.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18. PEDIDOS DE ESCLARECIMENTOS E IMPUGNAÇÕES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18.2. As respostas aos pedidos de esclarecimentos e às impugnações serão divulgadas pelo órgão licitante no seguinte endereço: www.viadutos.rs.gov.br.</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19. DAS DISPOSIÇÕES GERAIS: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19.2. Após a apresentação da proposta, não caberá desistência, salvo por motivo justo decorrente de fato superveniente e aceito pelo pregoeiro.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center"/>
        <w:rPr>
          <w:rFonts w:ascii="Times New Roman" w:hAnsi="Times New Roman" w:cs="Times New Roman"/>
          <w:sz w:val="22"/>
          <w:szCs w:val="22"/>
        </w:rPr>
      </w:pPr>
      <w:r w:rsidRPr="00867F62">
        <w:rPr>
          <w:rFonts w:ascii="Times New Roman" w:hAnsi="Times New Roman" w:cs="Times New Roman"/>
          <w:sz w:val="22"/>
          <w:szCs w:val="22"/>
        </w:rPr>
        <w:t>Viadutos, 05</w:t>
      </w:r>
      <w:r w:rsidR="00421A2D" w:rsidRPr="00867F62">
        <w:rPr>
          <w:rFonts w:ascii="Times New Roman" w:hAnsi="Times New Roman" w:cs="Times New Roman"/>
          <w:sz w:val="22"/>
          <w:szCs w:val="22"/>
        </w:rPr>
        <w:t xml:space="preserve"> de novembro de 2025</w:t>
      </w:r>
    </w:p>
    <w:p w:rsidR="00A3743B" w:rsidRPr="00867F62" w:rsidRDefault="00A3743B" w:rsidP="00867F62">
      <w:pPr>
        <w:pStyle w:val="Standard"/>
        <w:jc w:val="center"/>
        <w:rPr>
          <w:rFonts w:ascii="Times New Roman" w:hAnsi="Times New Roman" w:cs="Times New Roman"/>
          <w:sz w:val="22"/>
          <w:szCs w:val="22"/>
        </w:rPr>
      </w:pPr>
    </w:p>
    <w:p w:rsidR="00421A2D" w:rsidRPr="00867F62" w:rsidRDefault="00421A2D" w:rsidP="00867F62">
      <w:pPr>
        <w:pStyle w:val="Standard"/>
        <w:jc w:val="center"/>
        <w:rPr>
          <w:rFonts w:ascii="Times New Roman" w:hAnsi="Times New Roman" w:cs="Times New Roman"/>
          <w:sz w:val="22"/>
          <w:szCs w:val="22"/>
        </w:rPr>
      </w:pPr>
    </w:p>
    <w:p w:rsidR="00421A2D" w:rsidRPr="00867F62" w:rsidRDefault="00421A2D" w:rsidP="00867F62">
      <w:pPr>
        <w:pStyle w:val="Standard"/>
        <w:jc w:val="center"/>
        <w:rPr>
          <w:rFonts w:ascii="Times New Roman" w:hAnsi="Times New Roman" w:cs="Times New Roman"/>
          <w:sz w:val="22"/>
          <w:szCs w:val="22"/>
        </w:rPr>
      </w:pPr>
      <w:r w:rsidRPr="00867F62">
        <w:rPr>
          <w:rFonts w:ascii="Times New Roman" w:hAnsi="Times New Roman" w:cs="Times New Roman"/>
          <w:sz w:val="22"/>
          <w:szCs w:val="22"/>
        </w:rPr>
        <w:t>______________________</w:t>
      </w:r>
    </w:p>
    <w:p w:rsidR="00A3743B" w:rsidRPr="00867F62" w:rsidRDefault="001800F4" w:rsidP="00867F62">
      <w:pPr>
        <w:pStyle w:val="Standard"/>
        <w:jc w:val="center"/>
        <w:rPr>
          <w:rFonts w:ascii="Times New Roman" w:hAnsi="Times New Roman" w:cs="Times New Roman"/>
          <w:sz w:val="22"/>
          <w:szCs w:val="22"/>
        </w:rPr>
      </w:pPr>
      <w:r w:rsidRPr="00867F62">
        <w:rPr>
          <w:rFonts w:ascii="Times New Roman" w:hAnsi="Times New Roman" w:cs="Times New Roman"/>
          <w:sz w:val="22"/>
          <w:szCs w:val="22"/>
        </w:rPr>
        <w:t>Giovan André Sperotto</w:t>
      </w:r>
    </w:p>
    <w:p w:rsidR="00A3743B" w:rsidRPr="00867F62" w:rsidRDefault="001800F4" w:rsidP="00867F62">
      <w:pPr>
        <w:pStyle w:val="Standard"/>
        <w:jc w:val="center"/>
        <w:rPr>
          <w:rFonts w:ascii="Times New Roman" w:hAnsi="Times New Roman" w:cs="Times New Roman"/>
          <w:sz w:val="22"/>
          <w:szCs w:val="22"/>
        </w:rPr>
      </w:pPr>
      <w:r w:rsidRPr="00867F62">
        <w:rPr>
          <w:rFonts w:ascii="Times New Roman" w:hAnsi="Times New Roman" w:cs="Times New Roman"/>
          <w:sz w:val="22"/>
          <w:szCs w:val="22"/>
        </w:rPr>
        <w:t>Prefeito</w:t>
      </w:r>
      <w:r w:rsidRPr="00867F62">
        <w:rPr>
          <w:rFonts w:ascii="Times New Roman" w:hAnsi="Times New Roman" w:cs="Times New Roman"/>
          <w:sz w:val="22"/>
          <w:szCs w:val="22"/>
        </w:rPr>
        <w:br w:type="page"/>
      </w:r>
    </w:p>
    <w:p w:rsidR="00A3743B" w:rsidRPr="00867F62" w:rsidRDefault="001800F4" w:rsidP="00867F62">
      <w:pPr>
        <w:pStyle w:val="Standard"/>
        <w:rPr>
          <w:rFonts w:ascii="Times New Roman" w:hAnsi="Times New Roman" w:cs="Times New Roman"/>
          <w:b/>
          <w:bCs/>
          <w:sz w:val="22"/>
          <w:szCs w:val="22"/>
        </w:rPr>
      </w:pPr>
      <w:r w:rsidRPr="00867F62">
        <w:rPr>
          <w:rFonts w:ascii="Times New Roman" w:hAnsi="Times New Roman" w:cs="Times New Roman"/>
          <w:b/>
          <w:bCs/>
          <w:sz w:val="22"/>
          <w:szCs w:val="22"/>
        </w:rPr>
        <w:t xml:space="preserve">TERMO DE CONTRATO Nº </w:t>
      </w:r>
      <w:proofErr w:type="spellStart"/>
      <w:r w:rsidRPr="00867F62">
        <w:rPr>
          <w:rFonts w:ascii="Times New Roman" w:hAnsi="Times New Roman" w:cs="Times New Roman"/>
          <w:b/>
          <w:bCs/>
          <w:sz w:val="22"/>
          <w:szCs w:val="22"/>
        </w:rPr>
        <w:t>xxx</w:t>
      </w:r>
      <w:proofErr w:type="spellEnd"/>
      <w:r w:rsidRPr="00867F62">
        <w:rPr>
          <w:rFonts w:ascii="Times New Roman" w:hAnsi="Times New Roman" w:cs="Times New Roman"/>
          <w:b/>
          <w:bCs/>
          <w:sz w:val="22"/>
          <w:szCs w:val="22"/>
        </w:rPr>
        <w:t>/</w:t>
      </w:r>
      <w:proofErr w:type="spellStart"/>
      <w:r w:rsidRPr="00867F62">
        <w:rPr>
          <w:rFonts w:ascii="Times New Roman" w:hAnsi="Times New Roman" w:cs="Times New Roman"/>
          <w:b/>
          <w:bCs/>
          <w:sz w:val="22"/>
          <w:szCs w:val="22"/>
        </w:rPr>
        <w:t>xx</w:t>
      </w:r>
      <w:proofErr w:type="spellEnd"/>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ind w:left="3969"/>
        <w:jc w:val="both"/>
        <w:rPr>
          <w:rFonts w:ascii="Times New Roman" w:hAnsi="Times New Roman" w:cs="Times New Roman"/>
          <w:sz w:val="22"/>
          <w:szCs w:val="22"/>
        </w:rPr>
      </w:pPr>
      <w:r w:rsidRPr="00867F62">
        <w:rPr>
          <w:rFonts w:ascii="Times New Roman" w:hAnsi="Times New Roman" w:cs="Times New Roman"/>
          <w:sz w:val="22"/>
          <w:szCs w:val="22"/>
        </w:rPr>
        <w:t xml:space="preserve">CONTRATO ADMINISTRATIVO Nº XX/XXX PARA </w:t>
      </w:r>
      <w:r w:rsidRPr="00867F62">
        <w:rPr>
          <w:rFonts w:ascii="Times New Roman" w:hAnsi="Times New Roman" w:cs="Times New Roman"/>
          <w:b/>
          <w:bCs/>
          <w:sz w:val="22"/>
          <w:szCs w:val="22"/>
        </w:rPr>
        <w:t xml:space="preserve">Contratação de empresa para fornecimento de playground e reforma de playground </w:t>
      </w:r>
      <w:r w:rsidR="00421A2D" w:rsidRPr="00867F62">
        <w:rPr>
          <w:rFonts w:ascii="Times New Roman" w:hAnsi="Times New Roman" w:cs="Times New Roman"/>
          <w:b/>
          <w:bCs/>
          <w:sz w:val="22"/>
          <w:szCs w:val="22"/>
        </w:rPr>
        <w:t>existente</w:t>
      </w:r>
      <w:r w:rsidRPr="00867F62">
        <w:rPr>
          <w:rFonts w:ascii="Times New Roman" w:hAnsi="Times New Roman" w:cs="Times New Roman"/>
          <w:b/>
          <w:bCs/>
          <w:sz w:val="22"/>
          <w:szCs w:val="22"/>
        </w:rPr>
        <w:t xml:space="preserve"> para </w:t>
      </w:r>
      <w:r w:rsidR="00421A2D" w:rsidRPr="00867F62">
        <w:rPr>
          <w:rFonts w:ascii="Times New Roman" w:hAnsi="Times New Roman" w:cs="Times New Roman"/>
          <w:b/>
          <w:bCs/>
          <w:sz w:val="22"/>
          <w:szCs w:val="22"/>
        </w:rPr>
        <w:t>instalação</w:t>
      </w:r>
      <w:r w:rsidRPr="00867F62">
        <w:rPr>
          <w:rFonts w:ascii="Times New Roman" w:hAnsi="Times New Roman" w:cs="Times New Roman"/>
          <w:b/>
          <w:bCs/>
          <w:sz w:val="22"/>
          <w:szCs w:val="22"/>
        </w:rPr>
        <w:t xml:space="preserve"> na </w:t>
      </w:r>
      <w:r w:rsidR="00421A2D" w:rsidRPr="00867F62">
        <w:rPr>
          <w:rFonts w:ascii="Times New Roman" w:hAnsi="Times New Roman" w:cs="Times New Roman"/>
          <w:b/>
          <w:bCs/>
          <w:sz w:val="22"/>
          <w:szCs w:val="22"/>
        </w:rPr>
        <w:t>Praça</w:t>
      </w:r>
      <w:r w:rsidRPr="00867F62">
        <w:rPr>
          <w:rFonts w:ascii="Times New Roman" w:hAnsi="Times New Roman" w:cs="Times New Roman"/>
          <w:b/>
          <w:bCs/>
          <w:sz w:val="22"/>
          <w:szCs w:val="22"/>
        </w:rPr>
        <w:t xml:space="preserve"> </w:t>
      </w:r>
      <w:proofErr w:type="spellStart"/>
      <w:r w:rsidRPr="00867F62">
        <w:rPr>
          <w:rFonts w:ascii="Times New Roman" w:hAnsi="Times New Roman" w:cs="Times New Roman"/>
          <w:b/>
          <w:bCs/>
          <w:sz w:val="22"/>
          <w:szCs w:val="22"/>
        </w:rPr>
        <w:t>Izidoro</w:t>
      </w:r>
      <w:proofErr w:type="spellEnd"/>
      <w:r w:rsidRPr="00867F62">
        <w:rPr>
          <w:rFonts w:ascii="Times New Roman" w:hAnsi="Times New Roman" w:cs="Times New Roman"/>
          <w:b/>
          <w:bCs/>
          <w:sz w:val="22"/>
          <w:szCs w:val="22"/>
        </w:rPr>
        <w:t xml:space="preserve"> José </w:t>
      </w:r>
      <w:proofErr w:type="spellStart"/>
      <w:r w:rsidRPr="00867F62">
        <w:rPr>
          <w:rFonts w:ascii="Times New Roman" w:hAnsi="Times New Roman" w:cs="Times New Roman"/>
          <w:b/>
          <w:bCs/>
          <w:sz w:val="22"/>
          <w:szCs w:val="22"/>
        </w:rPr>
        <w:t>Brancher</w:t>
      </w:r>
      <w:proofErr w:type="spellEnd"/>
      <w:r w:rsidRPr="00867F62">
        <w:rPr>
          <w:rFonts w:ascii="Times New Roman" w:hAnsi="Times New Roman" w:cs="Times New Roman"/>
          <w:b/>
          <w:bCs/>
          <w:sz w:val="22"/>
          <w:szCs w:val="22"/>
        </w:rPr>
        <w:t xml:space="preserve"> do </w:t>
      </w:r>
      <w:proofErr w:type="spellStart"/>
      <w:r w:rsidRPr="00867F62">
        <w:rPr>
          <w:rFonts w:ascii="Times New Roman" w:hAnsi="Times New Roman" w:cs="Times New Roman"/>
          <w:b/>
          <w:bCs/>
          <w:sz w:val="22"/>
          <w:szCs w:val="22"/>
        </w:rPr>
        <w:t>Municpio</w:t>
      </w:r>
      <w:proofErr w:type="spellEnd"/>
      <w:r w:rsidRPr="00867F62">
        <w:rPr>
          <w:rFonts w:ascii="Times New Roman" w:hAnsi="Times New Roman" w:cs="Times New Roman"/>
          <w:b/>
          <w:bCs/>
          <w:sz w:val="22"/>
          <w:szCs w:val="22"/>
        </w:rPr>
        <w:t xml:space="preserve"> de Viadutos-RS</w:t>
      </w:r>
      <w:r w:rsidRPr="00867F62">
        <w:rPr>
          <w:rFonts w:ascii="Times New Roman" w:hAnsi="Times New Roman" w:cs="Times New Roman"/>
          <w:sz w:val="22"/>
          <w:szCs w:val="22"/>
        </w:rPr>
        <w:t>, QUE FIRMAM O MUNICÍPIO DE VIADUTOS E A EMPRESA XXXX.</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Aos 05/11/25, de um lado o</w:t>
      </w:r>
      <w:r w:rsidRPr="00867F62">
        <w:rPr>
          <w:rFonts w:ascii="Times New Roman" w:hAnsi="Times New Roman" w:cs="Times New Roman"/>
          <w:b/>
          <w:bCs/>
          <w:sz w:val="22"/>
          <w:szCs w:val="22"/>
        </w:rPr>
        <w:t xml:space="preserve"> Município de Viadutos</w:t>
      </w:r>
      <w:r w:rsidRPr="00867F62">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867F62">
        <w:rPr>
          <w:rFonts w:ascii="Times New Roman" w:hAnsi="Times New Roman" w:cs="Times New Roman"/>
          <w:sz w:val="22"/>
          <w:szCs w:val="22"/>
        </w:rPr>
        <w:t>xxxx</w:t>
      </w:r>
      <w:proofErr w:type="spellEnd"/>
      <w:r w:rsidRPr="00867F62">
        <w:rPr>
          <w:rFonts w:ascii="Times New Roman" w:hAnsi="Times New Roman" w:cs="Times New Roman"/>
          <w:sz w:val="22"/>
          <w:szCs w:val="22"/>
        </w:rPr>
        <w:t xml:space="preserve"> doravante denominado simplesmente de </w:t>
      </w:r>
      <w:r w:rsidRPr="00867F62">
        <w:rPr>
          <w:rFonts w:ascii="Times New Roman" w:hAnsi="Times New Roman" w:cs="Times New Roman"/>
          <w:b/>
          <w:bCs/>
          <w:sz w:val="22"/>
          <w:szCs w:val="22"/>
        </w:rPr>
        <w:t>CONTRATANTE</w:t>
      </w:r>
      <w:r w:rsidRPr="00867F62">
        <w:rPr>
          <w:rFonts w:ascii="Times New Roman" w:hAnsi="Times New Roman" w:cs="Times New Roman"/>
          <w:sz w:val="22"/>
          <w:szCs w:val="22"/>
        </w:rPr>
        <w:t>.</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b/>
          <w:bCs/>
          <w:sz w:val="22"/>
          <w:szCs w:val="22"/>
        </w:rPr>
        <w:t>CONTRATADO,</w:t>
      </w:r>
      <w:r w:rsidRPr="00867F62">
        <w:rPr>
          <w:rFonts w:ascii="Times New Roman" w:hAnsi="Times New Roman" w:cs="Times New Roman"/>
          <w:sz w:val="22"/>
          <w:szCs w:val="22"/>
        </w:rPr>
        <w:t xml:space="preserve"> a empresa </w:t>
      </w:r>
      <w:proofErr w:type="spellStart"/>
      <w:r w:rsidRPr="00867F62">
        <w:rPr>
          <w:rFonts w:ascii="Times New Roman" w:hAnsi="Times New Roman" w:cs="Times New Roman"/>
          <w:sz w:val="22"/>
          <w:szCs w:val="22"/>
        </w:rPr>
        <w:t>xxxx</w:t>
      </w:r>
      <w:proofErr w:type="spellEnd"/>
      <w:r w:rsidRPr="00867F62">
        <w:rPr>
          <w:rFonts w:ascii="Times New Roman" w:hAnsi="Times New Roman" w:cs="Times New Roman"/>
          <w:sz w:val="22"/>
          <w:szCs w:val="22"/>
        </w:rPr>
        <w:t xml:space="preserve"> estabelecido (a) / </w:t>
      </w:r>
      <w:proofErr w:type="spellStart"/>
      <w:r w:rsidRPr="00867F62">
        <w:rPr>
          <w:rFonts w:ascii="Times New Roman" w:hAnsi="Times New Roman" w:cs="Times New Roman"/>
          <w:sz w:val="22"/>
          <w:szCs w:val="22"/>
        </w:rPr>
        <w:t>xxxx</w:t>
      </w:r>
      <w:proofErr w:type="spellEnd"/>
      <w:r w:rsidRPr="00867F62">
        <w:rPr>
          <w:rFonts w:ascii="Times New Roman" w:hAnsi="Times New Roman" w:cs="Times New Roman"/>
          <w:sz w:val="22"/>
          <w:szCs w:val="22"/>
        </w:rPr>
        <w:t xml:space="preserve"> - </w:t>
      </w:r>
      <w:proofErr w:type="spellStart"/>
      <w:r w:rsidRPr="00867F62">
        <w:rPr>
          <w:rFonts w:ascii="Times New Roman" w:hAnsi="Times New Roman" w:cs="Times New Roman"/>
          <w:sz w:val="22"/>
          <w:szCs w:val="22"/>
        </w:rPr>
        <w:t>xxx</w:t>
      </w:r>
      <w:proofErr w:type="spellEnd"/>
      <w:r w:rsidRPr="00867F62">
        <w:rPr>
          <w:rFonts w:ascii="Times New Roman" w:hAnsi="Times New Roman" w:cs="Times New Roman"/>
          <w:sz w:val="22"/>
          <w:szCs w:val="22"/>
        </w:rPr>
        <w:t xml:space="preserve"> na cidade </w:t>
      </w:r>
      <w:proofErr w:type="spellStart"/>
      <w:r w:rsidRPr="00867F62">
        <w:rPr>
          <w:rFonts w:ascii="Times New Roman" w:hAnsi="Times New Roman" w:cs="Times New Roman"/>
          <w:sz w:val="22"/>
          <w:szCs w:val="22"/>
        </w:rPr>
        <w:t>xxxx</w:t>
      </w:r>
      <w:proofErr w:type="spellEnd"/>
      <w:r w:rsidRPr="00867F62">
        <w:rPr>
          <w:rFonts w:ascii="Times New Roman" w:hAnsi="Times New Roman" w:cs="Times New Roman"/>
          <w:sz w:val="22"/>
          <w:szCs w:val="22"/>
        </w:rPr>
        <w:t xml:space="preserve"> inscrito (a) no CNPJ/CPF sob o nº </w:t>
      </w:r>
      <w:proofErr w:type="spellStart"/>
      <w:r w:rsidRPr="00867F62">
        <w:rPr>
          <w:rFonts w:ascii="Times New Roman" w:hAnsi="Times New Roman" w:cs="Times New Roman"/>
          <w:sz w:val="22"/>
          <w:szCs w:val="22"/>
        </w:rPr>
        <w:t>xxxx</w:t>
      </w:r>
      <w:proofErr w:type="spellEnd"/>
      <w:r w:rsidRPr="00867F62">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CLÁUSULA PRIMEIRA – DA FUNDAMENTAÇÃO</w:t>
      </w:r>
    </w:p>
    <w:p w:rsidR="00A3743B" w:rsidRPr="00867F62" w:rsidRDefault="00867F62"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a) </w:t>
      </w:r>
      <w:r w:rsidR="001800F4" w:rsidRPr="00867F62">
        <w:rPr>
          <w:rFonts w:ascii="Times New Roman" w:hAnsi="Times New Roman" w:cs="Times New Roman"/>
          <w:sz w:val="22"/>
          <w:szCs w:val="22"/>
        </w:rPr>
        <w:t>O presente instrumento é fundamentado no procedimento realizado pela CONTRATANTE através do Pregão</w:t>
      </w:r>
      <w:r w:rsidR="001800F4" w:rsidRPr="00867F62">
        <w:rPr>
          <w:rFonts w:ascii="Times New Roman" w:hAnsi="Times New Roman" w:cs="Times New Roman"/>
          <w:b/>
          <w:bCs/>
          <w:sz w:val="22"/>
          <w:szCs w:val="22"/>
        </w:rPr>
        <w:t xml:space="preserve"> Nº 46/2025, Processo nº 452/2025</w:t>
      </w:r>
      <w:r w:rsidR="001800F4" w:rsidRPr="00867F62">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CLÁUSULA SEGUNDA – DO OBJETO</w:t>
      </w:r>
    </w:p>
    <w:p w:rsidR="00A3743B" w:rsidRPr="00867F62" w:rsidRDefault="00867F62"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a) </w:t>
      </w:r>
      <w:r w:rsidR="001800F4" w:rsidRPr="00867F62">
        <w:rPr>
          <w:rFonts w:ascii="Times New Roman" w:hAnsi="Times New Roman" w:cs="Times New Roman"/>
          <w:sz w:val="22"/>
          <w:szCs w:val="22"/>
        </w:rPr>
        <w:t>O presente contrato tem por objeto</w:t>
      </w:r>
      <w:r w:rsidR="00421A2D" w:rsidRPr="00867F62">
        <w:rPr>
          <w:rFonts w:ascii="Times New Roman" w:hAnsi="Times New Roman" w:cs="Times New Roman"/>
          <w:sz w:val="22"/>
          <w:szCs w:val="22"/>
        </w:rPr>
        <w:t xml:space="preserve"> a</w:t>
      </w:r>
      <w:r w:rsidR="001800F4" w:rsidRPr="00867F62">
        <w:rPr>
          <w:rFonts w:ascii="Times New Roman" w:hAnsi="Times New Roman" w:cs="Times New Roman"/>
          <w:sz w:val="22"/>
          <w:szCs w:val="22"/>
        </w:rPr>
        <w:t xml:space="preserve"> </w:t>
      </w:r>
      <w:r w:rsidR="001800F4" w:rsidRPr="00867F62">
        <w:rPr>
          <w:rFonts w:ascii="Times New Roman" w:hAnsi="Times New Roman" w:cs="Times New Roman"/>
          <w:b/>
          <w:bCs/>
          <w:sz w:val="22"/>
          <w:szCs w:val="22"/>
        </w:rPr>
        <w:t xml:space="preserve">Contratação de empresa para fornecimento de playground e reforma de playground </w:t>
      </w:r>
      <w:r w:rsidR="00421A2D" w:rsidRPr="00867F62">
        <w:rPr>
          <w:rFonts w:ascii="Times New Roman" w:hAnsi="Times New Roman" w:cs="Times New Roman"/>
          <w:b/>
          <w:bCs/>
          <w:sz w:val="22"/>
          <w:szCs w:val="22"/>
        </w:rPr>
        <w:t>existente</w:t>
      </w:r>
      <w:r w:rsidR="001800F4" w:rsidRPr="00867F62">
        <w:rPr>
          <w:rFonts w:ascii="Times New Roman" w:hAnsi="Times New Roman" w:cs="Times New Roman"/>
          <w:b/>
          <w:bCs/>
          <w:sz w:val="22"/>
          <w:szCs w:val="22"/>
        </w:rPr>
        <w:t xml:space="preserve"> para </w:t>
      </w:r>
      <w:r w:rsidR="00421A2D" w:rsidRPr="00867F62">
        <w:rPr>
          <w:rFonts w:ascii="Times New Roman" w:hAnsi="Times New Roman" w:cs="Times New Roman"/>
          <w:b/>
          <w:bCs/>
          <w:sz w:val="22"/>
          <w:szCs w:val="22"/>
        </w:rPr>
        <w:t>instalação</w:t>
      </w:r>
      <w:r w:rsidR="001800F4" w:rsidRPr="00867F62">
        <w:rPr>
          <w:rFonts w:ascii="Times New Roman" w:hAnsi="Times New Roman" w:cs="Times New Roman"/>
          <w:b/>
          <w:bCs/>
          <w:sz w:val="22"/>
          <w:szCs w:val="22"/>
        </w:rPr>
        <w:t xml:space="preserve"> na </w:t>
      </w:r>
      <w:r w:rsidR="00421A2D" w:rsidRPr="00867F62">
        <w:rPr>
          <w:rFonts w:ascii="Times New Roman" w:hAnsi="Times New Roman" w:cs="Times New Roman"/>
          <w:b/>
          <w:bCs/>
          <w:sz w:val="22"/>
          <w:szCs w:val="22"/>
        </w:rPr>
        <w:t>Praça</w:t>
      </w:r>
      <w:r w:rsidR="001800F4" w:rsidRPr="00867F62">
        <w:rPr>
          <w:rFonts w:ascii="Times New Roman" w:hAnsi="Times New Roman" w:cs="Times New Roman"/>
          <w:b/>
          <w:bCs/>
          <w:sz w:val="22"/>
          <w:szCs w:val="22"/>
        </w:rPr>
        <w:t xml:space="preserve"> </w:t>
      </w:r>
      <w:proofErr w:type="spellStart"/>
      <w:r w:rsidR="001800F4" w:rsidRPr="00867F62">
        <w:rPr>
          <w:rFonts w:ascii="Times New Roman" w:hAnsi="Times New Roman" w:cs="Times New Roman"/>
          <w:b/>
          <w:bCs/>
          <w:sz w:val="22"/>
          <w:szCs w:val="22"/>
        </w:rPr>
        <w:t>Izidoro</w:t>
      </w:r>
      <w:proofErr w:type="spellEnd"/>
      <w:r w:rsidR="001800F4" w:rsidRPr="00867F62">
        <w:rPr>
          <w:rFonts w:ascii="Times New Roman" w:hAnsi="Times New Roman" w:cs="Times New Roman"/>
          <w:b/>
          <w:bCs/>
          <w:sz w:val="22"/>
          <w:szCs w:val="22"/>
        </w:rPr>
        <w:t xml:space="preserve"> José </w:t>
      </w:r>
      <w:proofErr w:type="spellStart"/>
      <w:r w:rsidR="001800F4" w:rsidRPr="00867F62">
        <w:rPr>
          <w:rFonts w:ascii="Times New Roman" w:hAnsi="Times New Roman" w:cs="Times New Roman"/>
          <w:b/>
          <w:bCs/>
          <w:sz w:val="22"/>
          <w:szCs w:val="22"/>
        </w:rPr>
        <w:t>Brancher</w:t>
      </w:r>
      <w:proofErr w:type="spellEnd"/>
      <w:r w:rsidR="001800F4" w:rsidRPr="00867F62">
        <w:rPr>
          <w:rFonts w:ascii="Times New Roman" w:hAnsi="Times New Roman" w:cs="Times New Roman"/>
          <w:b/>
          <w:bCs/>
          <w:sz w:val="22"/>
          <w:szCs w:val="22"/>
        </w:rPr>
        <w:t xml:space="preserve"> do </w:t>
      </w:r>
      <w:r w:rsidR="00421A2D" w:rsidRPr="00867F62">
        <w:rPr>
          <w:rFonts w:ascii="Times New Roman" w:hAnsi="Times New Roman" w:cs="Times New Roman"/>
          <w:b/>
          <w:bCs/>
          <w:sz w:val="22"/>
          <w:szCs w:val="22"/>
        </w:rPr>
        <w:t>Município</w:t>
      </w:r>
      <w:r w:rsidR="001800F4" w:rsidRPr="00867F62">
        <w:rPr>
          <w:rFonts w:ascii="Times New Roman" w:hAnsi="Times New Roman" w:cs="Times New Roman"/>
          <w:b/>
          <w:bCs/>
          <w:sz w:val="22"/>
          <w:szCs w:val="22"/>
        </w:rPr>
        <w:t xml:space="preserve"> de Viadutos-RS</w:t>
      </w:r>
      <w:r w:rsidR="001800F4" w:rsidRPr="00867F62">
        <w:rPr>
          <w:rFonts w:ascii="Times New Roman" w:hAnsi="Times New Roman" w:cs="Times New Roman"/>
          <w:sz w:val="22"/>
          <w:szCs w:val="22"/>
        </w:rPr>
        <w:t>, conforme proposta vencedora.</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54"/>
        <w:gridCol w:w="580"/>
        <w:gridCol w:w="5103"/>
        <w:gridCol w:w="1276"/>
        <w:gridCol w:w="992"/>
        <w:gridCol w:w="1276"/>
      </w:tblGrid>
      <w:tr w:rsidR="00421A2D" w:rsidRPr="00867F62" w:rsidTr="00867F62">
        <w:tc>
          <w:tcPr>
            <w:tcW w:w="554" w:type="dxa"/>
          </w:tcPr>
          <w:p w:rsidR="00421A2D" w:rsidRPr="00867F62" w:rsidRDefault="00421A2D" w:rsidP="00867F62">
            <w:pPr>
              <w:pStyle w:val="Contedodatabela"/>
              <w:jc w:val="center"/>
              <w:rPr>
                <w:b/>
                <w:sz w:val="22"/>
                <w:szCs w:val="22"/>
              </w:rPr>
            </w:pPr>
            <w:r w:rsidRPr="00867F62">
              <w:rPr>
                <w:b/>
                <w:sz w:val="22"/>
                <w:szCs w:val="22"/>
              </w:rPr>
              <w:t>Lote</w:t>
            </w:r>
          </w:p>
        </w:tc>
        <w:tc>
          <w:tcPr>
            <w:tcW w:w="580" w:type="dxa"/>
          </w:tcPr>
          <w:p w:rsidR="00421A2D" w:rsidRPr="00867F62" w:rsidRDefault="00421A2D" w:rsidP="00867F62">
            <w:pPr>
              <w:pStyle w:val="Contedodatabela"/>
              <w:jc w:val="center"/>
              <w:rPr>
                <w:b/>
                <w:sz w:val="22"/>
                <w:szCs w:val="22"/>
              </w:rPr>
            </w:pPr>
            <w:r w:rsidRPr="00867F62">
              <w:rPr>
                <w:b/>
                <w:sz w:val="22"/>
                <w:szCs w:val="22"/>
              </w:rPr>
              <w:t>Item</w:t>
            </w:r>
          </w:p>
        </w:tc>
        <w:tc>
          <w:tcPr>
            <w:tcW w:w="5103" w:type="dxa"/>
          </w:tcPr>
          <w:p w:rsidR="00421A2D" w:rsidRPr="00867F62" w:rsidRDefault="00421A2D" w:rsidP="00867F62">
            <w:pPr>
              <w:pStyle w:val="Contedodatabela"/>
              <w:jc w:val="center"/>
              <w:rPr>
                <w:b/>
                <w:sz w:val="22"/>
                <w:szCs w:val="22"/>
              </w:rPr>
            </w:pPr>
            <w:r w:rsidRPr="00867F62">
              <w:rPr>
                <w:b/>
                <w:sz w:val="22"/>
                <w:szCs w:val="22"/>
              </w:rPr>
              <w:t>Descrição</w:t>
            </w:r>
          </w:p>
        </w:tc>
        <w:tc>
          <w:tcPr>
            <w:tcW w:w="1276" w:type="dxa"/>
          </w:tcPr>
          <w:p w:rsidR="00421A2D" w:rsidRPr="00867F62" w:rsidRDefault="00421A2D" w:rsidP="00867F62">
            <w:pPr>
              <w:pStyle w:val="Contedodatabela"/>
              <w:jc w:val="center"/>
              <w:rPr>
                <w:b/>
                <w:sz w:val="22"/>
                <w:szCs w:val="22"/>
              </w:rPr>
            </w:pPr>
            <w:r w:rsidRPr="00867F62">
              <w:rPr>
                <w:b/>
                <w:sz w:val="22"/>
                <w:szCs w:val="22"/>
              </w:rPr>
              <w:t>Quantidade</w:t>
            </w:r>
          </w:p>
        </w:tc>
        <w:tc>
          <w:tcPr>
            <w:tcW w:w="992" w:type="dxa"/>
          </w:tcPr>
          <w:p w:rsidR="00421A2D" w:rsidRPr="00867F62" w:rsidRDefault="00421A2D" w:rsidP="00867F62">
            <w:pPr>
              <w:pStyle w:val="Contedodatabela"/>
              <w:jc w:val="center"/>
              <w:rPr>
                <w:b/>
                <w:sz w:val="22"/>
                <w:szCs w:val="22"/>
              </w:rPr>
            </w:pPr>
            <w:r w:rsidRPr="00867F62">
              <w:rPr>
                <w:b/>
                <w:sz w:val="22"/>
                <w:szCs w:val="22"/>
              </w:rPr>
              <w:t>Unidade</w:t>
            </w:r>
          </w:p>
        </w:tc>
        <w:tc>
          <w:tcPr>
            <w:tcW w:w="1276" w:type="dxa"/>
          </w:tcPr>
          <w:p w:rsidR="00421A2D" w:rsidRPr="00867F62" w:rsidRDefault="00421A2D" w:rsidP="00867F62">
            <w:pPr>
              <w:pStyle w:val="Contedodatabela"/>
              <w:jc w:val="center"/>
              <w:rPr>
                <w:b/>
                <w:sz w:val="22"/>
                <w:szCs w:val="22"/>
              </w:rPr>
            </w:pPr>
            <w:r w:rsidRPr="00867F62">
              <w:rPr>
                <w:b/>
                <w:sz w:val="22"/>
                <w:szCs w:val="22"/>
              </w:rPr>
              <w:t>Unitário</w:t>
            </w:r>
          </w:p>
        </w:tc>
      </w:tr>
      <w:tr w:rsidR="00421A2D" w:rsidRPr="00867F62" w:rsidTr="00867F62">
        <w:tc>
          <w:tcPr>
            <w:tcW w:w="554" w:type="dxa"/>
          </w:tcPr>
          <w:p w:rsidR="00421A2D" w:rsidRPr="00867F62" w:rsidRDefault="00421A2D" w:rsidP="00867F62">
            <w:pPr>
              <w:pStyle w:val="Contedodatabela"/>
              <w:jc w:val="center"/>
              <w:rPr>
                <w:sz w:val="22"/>
                <w:szCs w:val="22"/>
              </w:rPr>
            </w:pPr>
            <w:r w:rsidRPr="00867F62">
              <w:rPr>
                <w:sz w:val="22"/>
                <w:szCs w:val="22"/>
              </w:rPr>
              <w:t>1</w:t>
            </w:r>
          </w:p>
        </w:tc>
        <w:tc>
          <w:tcPr>
            <w:tcW w:w="580" w:type="dxa"/>
          </w:tcPr>
          <w:p w:rsidR="00421A2D" w:rsidRPr="00867F62" w:rsidRDefault="00421A2D" w:rsidP="00867F62">
            <w:pPr>
              <w:pStyle w:val="Contedodatabela"/>
              <w:jc w:val="center"/>
              <w:rPr>
                <w:sz w:val="22"/>
                <w:szCs w:val="22"/>
              </w:rPr>
            </w:pPr>
            <w:r w:rsidRPr="00867F62">
              <w:rPr>
                <w:sz w:val="22"/>
                <w:szCs w:val="22"/>
              </w:rPr>
              <w:t>1</w:t>
            </w:r>
          </w:p>
        </w:tc>
        <w:tc>
          <w:tcPr>
            <w:tcW w:w="5103" w:type="dxa"/>
          </w:tcPr>
          <w:p w:rsidR="00421A2D" w:rsidRPr="00867F62" w:rsidRDefault="00421A2D" w:rsidP="00867F62">
            <w:pPr>
              <w:jc w:val="both"/>
              <w:rPr>
                <w:sz w:val="22"/>
                <w:szCs w:val="22"/>
              </w:rPr>
            </w:pPr>
            <w:r w:rsidRPr="00867F62">
              <w:rPr>
                <w:sz w:val="22"/>
                <w:szCs w:val="22"/>
              </w:rPr>
              <w:t xml:space="preserve">Playground com formato de locomotiva Maria fumaça, contendo: </w:t>
            </w:r>
          </w:p>
          <w:p w:rsidR="00421A2D" w:rsidRPr="00867F62" w:rsidRDefault="00421A2D" w:rsidP="00867F62">
            <w:pPr>
              <w:pStyle w:val="PargrafodaLista"/>
              <w:numPr>
                <w:ilvl w:val="0"/>
                <w:numId w:val="2"/>
              </w:numPr>
              <w:jc w:val="both"/>
              <w:rPr>
                <w:sz w:val="22"/>
                <w:szCs w:val="22"/>
              </w:rPr>
            </w:pPr>
            <w:r w:rsidRPr="00867F62">
              <w:rPr>
                <w:sz w:val="22"/>
                <w:szCs w:val="22"/>
              </w:rPr>
              <w:t xml:space="preserve">Locomotiva em chapa metálica, tubos metálicos e barras em aço carbono; Frente composta por limpa trilhos em tubos metálicos; Suporte de lamparina; </w:t>
            </w:r>
          </w:p>
          <w:p w:rsidR="00421A2D" w:rsidRPr="00867F62" w:rsidRDefault="00421A2D" w:rsidP="00867F62">
            <w:pPr>
              <w:pStyle w:val="PargrafodaLista"/>
              <w:numPr>
                <w:ilvl w:val="0"/>
                <w:numId w:val="2"/>
              </w:numPr>
              <w:jc w:val="both"/>
              <w:rPr>
                <w:sz w:val="22"/>
                <w:szCs w:val="22"/>
              </w:rPr>
            </w:pPr>
            <w:r w:rsidRPr="00867F62">
              <w:rPr>
                <w:sz w:val="22"/>
                <w:szCs w:val="22"/>
              </w:rPr>
              <w:t xml:space="preserve">Corpo em tubo metálico com aberturas laterais de 100mm dos dois lados; </w:t>
            </w:r>
          </w:p>
          <w:p w:rsidR="00421A2D" w:rsidRPr="00867F62" w:rsidRDefault="00421A2D" w:rsidP="00867F62">
            <w:pPr>
              <w:pStyle w:val="PargrafodaLista"/>
              <w:numPr>
                <w:ilvl w:val="0"/>
                <w:numId w:val="2"/>
              </w:numPr>
              <w:jc w:val="both"/>
              <w:rPr>
                <w:sz w:val="22"/>
                <w:szCs w:val="22"/>
              </w:rPr>
            </w:pPr>
            <w:r w:rsidRPr="00867F62">
              <w:rPr>
                <w:sz w:val="22"/>
                <w:szCs w:val="22"/>
              </w:rPr>
              <w:t xml:space="preserve">Sobre o tubo do corpo 03 chaminés metálicos de tamanhos diferentes; </w:t>
            </w:r>
          </w:p>
          <w:p w:rsidR="00421A2D" w:rsidRPr="00867F62" w:rsidRDefault="00421A2D" w:rsidP="00867F62">
            <w:pPr>
              <w:pStyle w:val="PargrafodaLista"/>
              <w:numPr>
                <w:ilvl w:val="0"/>
                <w:numId w:val="2"/>
              </w:numPr>
              <w:jc w:val="both"/>
              <w:rPr>
                <w:sz w:val="22"/>
                <w:szCs w:val="22"/>
              </w:rPr>
            </w:pPr>
            <w:r w:rsidRPr="00867F62">
              <w:rPr>
                <w:sz w:val="22"/>
                <w:szCs w:val="22"/>
              </w:rPr>
              <w:t xml:space="preserve">01 Sino com acionamento de cabine; </w:t>
            </w:r>
          </w:p>
          <w:p w:rsidR="00421A2D" w:rsidRPr="00867F62" w:rsidRDefault="00421A2D" w:rsidP="00867F62">
            <w:pPr>
              <w:pStyle w:val="PargrafodaLista"/>
              <w:numPr>
                <w:ilvl w:val="0"/>
                <w:numId w:val="2"/>
              </w:numPr>
              <w:jc w:val="both"/>
              <w:rPr>
                <w:sz w:val="22"/>
                <w:szCs w:val="22"/>
              </w:rPr>
            </w:pPr>
            <w:r w:rsidRPr="00867F62">
              <w:rPr>
                <w:sz w:val="22"/>
                <w:szCs w:val="22"/>
              </w:rPr>
              <w:t xml:space="preserve">02 rodas frontais com diâmetro de 400mm, dos dois lados, metálicas construídas em tubos com raios do mesmo material; </w:t>
            </w:r>
          </w:p>
          <w:p w:rsidR="00421A2D" w:rsidRPr="00867F62" w:rsidRDefault="00421A2D" w:rsidP="00867F62">
            <w:pPr>
              <w:pStyle w:val="PargrafodaLista"/>
              <w:numPr>
                <w:ilvl w:val="0"/>
                <w:numId w:val="2"/>
              </w:numPr>
              <w:jc w:val="both"/>
              <w:rPr>
                <w:sz w:val="22"/>
                <w:szCs w:val="22"/>
              </w:rPr>
            </w:pPr>
            <w:r w:rsidRPr="00867F62">
              <w:rPr>
                <w:sz w:val="22"/>
                <w:szCs w:val="22"/>
              </w:rPr>
              <w:t xml:space="preserve">Na traseira 02 rodas metálicas diâmetro de 1200mm dos dois lados da locomotiva, com raios do mesmo material. As rodas possuem um braço articulado para representar ligação de giro entre elas; </w:t>
            </w:r>
          </w:p>
          <w:p w:rsidR="00421A2D" w:rsidRPr="00867F62" w:rsidRDefault="00421A2D" w:rsidP="00867F62">
            <w:pPr>
              <w:pStyle w:val="PargrafodaLista"/>
              <w:numPr>
                <w:ilvl w:val="0"/>
                <w:numId w:val="2"/>
              </w:numPr>
              <w:jc w:val="both"/>
              <w:rPr>
                <w:sz w:val="22"/>
                <w:szCs w:val="22"/>
              </w:rPr>
            </w:pPr>
            <w:r w:rsidRPr="00867F62">
              <w:rPr>
                <w:sz w:val="22"/>
                <w:szCs w:val="22"/>
              </w:rPr>
              <w:t>Abaixo do tubo do corpo existe um chassi metálico em perfil “U”, de 150x40x2mm;</w:t>
            </w:r>
          </w:p>
          <w:p w:rsidR="00421A2D" w:rsidRPr="00867F62" w:rsidRDefault="00421A2D" w:rsidP="00867F62">
            <w:pPr>
              <w:pStyle w:val="PargrafodaLista"/>
              <w:numPr>
                <w:ilvl w:val="0"/>
                <w:numId w:val="2"/>
              </w:numPr>
              <w:jc w:val="both"/>
              <w:rPr>
                <w:sz w:val="22"/>
                <w:szCs w:val="22"/>
              </w:rPr>
            </w:pPr>
            <w:r w:rsidRPr="00867F62">
              <w:rPr>
                <w:sz w:val="22"/>
                <w:szCs w:val="22"/>
              </w:rPr>
              <w:t xml:space="preserve">Cabine possui estrutura em tubo metálico mínimo 40x60x2mm, composta por colunas e longarinas. O fechamento lateral é opcional. No interior da cabine 04 bancos </w:t>
            </w:r>
            <w:proofErr w:type="spellStart"/>
            <w:r w:rsidRPr="00867F62">
              <w:rPr>
                <w:sz w:val="22"/>
                <w:szCs w:val="22"/>
              </w:rPr>
              <w:t>rotomoldados</w:t>
            </w:r>
            <w:proofErr w:type="spellEnd"/>
            <w:r w:rsidRPr="00867F62">
              <w:rPr>
                <w:sz w:val="22"/>
                <w:szCs w:val="22"/>
              </w:rPr>
              <w:t xml:space="preserve"> são montados sobre estrutura metálica;</w:t>
            </w:r>
          </w:p>
          <w:p w:rsidR="00421A2D" w:rsidRPr="00867F62" w:rsidRDefault="00421A2D" w:rsidP="00867F62">
            <w:pPr>
              <w:pStyle w:val="PargrafodaLista"/>
              <w:numPr>
                <w:ilvl w:val="0"/>
                <w:numId w:val="2"/>
              </w:numPr>
              <w:jc w:val="both"/>
              <w:rPr>
                <w:sz w:val="22"/>
                <w:szCs w:val="22"/>
              </w:rPr>
            </w:pPr>
            <w:r w:rsidRPr="00867F62">
              <w:rPr>
                <w:sz w:val="22"/>
                <w:szCs w:val="22"/>
              </w:rPr>
              <w:t>O teto da cabine produzido em chapa metálica com formato arredondado sem fechamento frontal e traseiro;</w:t>
            </w:r>
          </w:p>
          <w:p w:rsidR="00421A2D" w:rsidRPr="00867F62" w:rsidRDefault="00421A2D" w:rsidP="00867F62">
            <w:pPr>
              <w:pStyle w:val="PargrafodaLista"/>
              <w:numPr>
                <w:ilvl w:val="0"/>
                <w:numId w:val="2"/>
              </w:numPr>
              <w:jc w:val="both"/>
              <w:rPr>
                <w:sz w:val="22"/>
                <w:szCs w:val="22"/>
              </w:rPr>
            </w:pPr>
            <w:r w:rsidRPr="00867F62">
              <w:rPr>
                <w:sz w:val="22"/>
                <w:szCs w:val="22"/>
              </w:rPr>
              <w:t>As medidas da locomotiva é de no mínimo 6 metros de comprimento, 1,50 de largura contando a cabine e 1,70 de altura da cabine;</w:t>
            </w:r>
          </w:p>
          <w:p w:rsidR="00421A2D" w:rsidRPr="00867F62" w:rsidRDefault="00421A2D" w:rsidP="00867F62">
            <w:pPr>
              <w:pStyle w:val="Contedodatabela"/>
              <w:numPr>
                <w:ilvl w:val="0"/>
                <w:numId w:val="2"/>
              </w:numPr>
              <w:jc w:val="both"/>
              <w:rPr>
                <w:sz w:val="22"/>
                <w:szCs w:val="22"/>
              </w:rPr>
            </w:pPr>
            <w:r w:rsidRPr="00867F62">
              <w:rPr>
                <w:sz w:val="22"/>
                <w:szCs w:val="22"/>
              </w:rPr>
              <w:t>Área máxima de montagem: 8x2,5 metros contando área de circulação;</w:t>
            </w:r>
          </w:p>
        </w:tc>
        <w:tc>
          <w:tcPr>
            <w:tcW w:w="1276" w:type="dxa"/>
          </w:tcPr>
          <w:p w:rsidR="00421A2D" w:rsidRPr="00867F62" w:rsidRDefault="00421A2D" w:rsidP="00867F62">
            <w:pPr>
              <w:pStyle w:val="Contedodatabela"/>
              <w:jc w:val="center"/>
              <w:rPr>
                <w:sz w:val="22"/>
                <w:szCs w:val="22"/>
              </w:rPr>
            </w:pPr>
            <w:r w:rsidRPr="00867F62">
              <w:rPr>
                <w:sz w:val="22"/>
                <w:szCs w:val="22"/>
              </w:rPr>
              <w:t>1,0</w:t>
            </w:r>
          </w:p>
        </w:tc>
        <w:tc>
          <w:tcPr>
            <w:tcW w:w="992" w:type="dxa"/>
          </w:tcPr>
          <w:p w:rsidR="00421A2D" w:rsidRPr="00867F62" w:rsidRDefault="00421A2D" w:rsidP="00867F62">
            <w:pPr>
              <w:pStyle w:val="Contedodatabela"/>
              <w:jc w:val="center"/>
              <w:rPr>
                <w:sz w:val="22"/>
                <w:szCs w:val="22"/>
              </w:rPr>
            </w:pPr>
            <w:proofErr w:type="spellStart"/>
            <w:r w:rsidRPr="00867F62">
              <w:rPr>
                <w:sz w:val="22"/>
                <w:szCs w:val="22"/>
              </w:rPr>
              <w:t>Und</w:t>
            </w:r>
            <w:proofErr w:type="spellEnd"/>
          </w:p>
        </w:tc>
        <w:tc>
          <w:tcPr>
            <w:tcW w:w="1276" w:type="dxa"/>
          </w:tcPr>
          <w:p w:rsidR="00421A2D" w:rsidRPr="00867F62" w:rsidRDefault="00421A2D" w:rsidP="00867F62">
            <w:pPr>
              <w:pStyle w:val="Contedodatabela"/>
              <w:jc w:val="right"/>
              <w:rPr>
                <w:sz w:val="22"/>
                <w:szCs w:val="22"/>
              </w:rPr>
            </w:pPr>
          </w:p>
        </w:tc>
      </w:tr>
      <w:tr w:rsidR="00421A2D" w:rsidRPr="00867F62" w:rsidTr="00867F62">
        <w:tc>
          <w:tcPr>
            <w:tcW w:w="554" w:type="dxa"/>
          </w:tcPr>
          <w:p w:rsidR="00421A2D" w:rsidRPr="00867F62" w:rsidRDefault="00421A2D" w:rsidP="00867F62">
            <w:pPr>
              <w:pStyle w:val="Contedodatabela"/>
              <w:jc w:val="center"/>
              <w:rPr>
                <w:sz w:val="22"/>
                <w:szCs w:val="22"/>
              </w:rPr>
            </w:pPr>
            <w:r w:rsidRPr="00867F62">
              <w:rPr>
                <w:sz w:val="22"/>
                <w:szCs w:val="22"/>
              </w:rPr>
              <w:t>1</w:t>
            </w:r>
          </w:p>
        </w:tc>
        <w:tc>
          <w:tcPr>
            <w:tcW w:w="580" w:type="dxa"/>
          </w:tcPr>
          <w:p w:rsidR="00421A2D" w:rsidRPr="00867F62" w:rsidRDefault="00421A2D" w:rsidP="00867F62">
            <w:pPr>
              <w:pStyle w:val="Contedodatabela"/>
              <w:jc w:val="center"/>
              <w:rPr>
                <w:sz w:val="22"/>
                <w:szCs w:val="22"/>
              </w:rPr>
            </w:pPr>
            <w:r w:rsidRPr="00867F62">
              <w:rPr>
                <w:sz w:val="22"/>
                <w:szCs w:val="22"/>
              </w:rPr>
              <w:t>2</w:t>
            </w:r>
          </w:p>
        </w:tc>
        <w:tc>
          <w:tcPr>
            <w:tcW w:w="5103" w:type="dxa"/>
          </w:tcPr>
          <w:p w:rsidR="00421A2D" w:rsidRPr="00867F62" w:rsidRDefault="00421A2D" w:rsidP="00867F62">
            <w:pPr>
              <w:pStyle w:val="Contedodatabela"/>
              <w:jc w:val="both"/>
              <w:rPr>
                <w:sz w:val="22"/>
                <w:szCs w:val="22"/>
              </w:rPr>
            </w:pPr>
            <w:r w:rsidRPr="00867F62">
              <w:rPr>
                <w:sz w:val="22"/>
                <w:szCs w:val="22"/>
              </w:rPr>
              <w:t xml:space="preserve">Reforma playground existente. A reforma será feita em quatro torres de brinquedos plásticos, sendo 3 quadradas e 01 sextavada, tais encontram-se montadas na Praça </w:t>
            </w:r>
            <w:proofErr w:type="spellStart"/>
            <w:r w:rsidRPr="00867F62">
              <w:rPr>
                <w:sz w:val="22"/>
                <w:szCs w:val="22"/>
              </w:rPr>
              <w:t>Izidoro</w:t>
            </w:r>
            <w:proofErr w:type="spellEnd"/>
            <w:r w:rsidRPr="00867F62">
              <w:rPr>
                <w:sz w:val="22"/>
                <w:szCs w:val="22"/>
              </w:rPr>
              <w:t xml:space="preserve"> José </w:t>
            </w:r>
            <w:proofErr w:type="spellStart"/>
            <w:r w:rsidRPr="00867F62">
              <w:rPr>
                <w:sz w:val="22"/>
                <w:szCs w:val="22"/>
              </w:rPr>
              <w:t>Brancher</w:t>
            </w:r>
            <w:proofErr w:type="spellEnd"/>
            <w:r w:rsidRPr="00867F62">
              <w:rPr>
                <w:sz w:val="22"/>
                <w:szCs w:val="22"/>
              </w:rPr>
              <w:t>. Os serviços de reforma serão:</w:t>
            </w:r>
          </w:p>
          <w:p w:rsidR="00421A2D" w:rsidRPr="00867F62" w:rsidRDefault="00421A2D" w:rsidP="00867F62">
            <w:pPr>
              <w:pStyle w:val="Contedodatabela"/>
              <w:numPr>
                <w:ilvl w:val="0"/>
                <w:numId w:val="4"/>
              </w:numPr>
              <w:jc w:val="both"/>
              <w:rPr>
                <w:sz w:val="22"/>
                <w:szCs w:val="22"/>
              </w:rPr>
            </w:pPr>
            <w:r w:rsidRPr="00867F62">
              <w:rPr>
                <w:sz w:val="22"/>
                <w:szCs w:val="22"/>
              </w:rPr>
              <w:t>Desmontagem dos brinquedos no local acima;</w:t>
            </w:r>
          </w:p>
          <w:p w:rsidR="00421A2D" w:rsidRPr="00867F62" w:rsidRDefault="00421A2D" w:rsidP="00867F62">
            <w:pPr>
              <w:pStyle w:val="Contedodatabela"/>
              <w:numPr>
                <w:ilvl w:val="0"/>
                <w:numId w:val="4"/>
              </w:numPr>
              <w:jc w:val="both"/>
              <w:rPr>
                <w:sz w:val="22"/>
                <w:szCs w:val="22"/>
              </w:rPr>
            </w:pPr>
            <w:r w:rsidRPr="00867F62">
              <w:rPr>
                <w:sz w:val="22"/>
                <w:szCs w:val="22"/>
              </w:rPr>
              <w:t xml:space="preserve">Jateamento e pintura especial para poliestireno; Montagem das estruturas sobre piso de concreto, fixada com </w:t>
            </w:r>
            <w:proofErr w:type="spellStart"/>
            <w:r w:rsidRPr="00867F62">
              <w:rPr>
                <w:sz w:val="22"/>
                <w:szCs w:val="22"/>
              </w:rPr>
              <w:t>parabolt</w:t>
            </w:r>
            <w:proofErr w:type="spellEnd"/>
            <w:r w:rsidRPr="00867F62">
              <w:rPr>
                <w:sz w:val="22"/>
                <w:szCs w:val="22"/>
              </w:rPr>
              <w:t>;</w:t>
            </w:r>
          </w:p>
          <w:p w:rsidR="00421A2D" w:rsidRPr="00867F62" w:rsidRDefault="00421A2D" w:rsidP="00867F62">
            <w:pPr>
              <w:pStyle w:val="Contedodatabela"/>
              <w:numPr>
                <w:ilvl w:val="0"/>
                <w:numId w:val="4"/>
              </w:numPr>
              <w:jc w:val="both"/>
              <w:rPr>
                <w:sz w:val="22"/>
                <w:szCs w:val="22"/>
              </w:rPr>
            </w:pPr>
            <w:r w:rsidRPr="00867F62">
              <w:rPr>
                <w:sz w:val="22"/>
                <w:szCs w:val="22"/>
              </w:rPr>
              <w:t>Transporte dos brinquedos;</w:t>
            </w:r>
          </w:p>
          <w:p w:rsidR="00421A2D" w:rsidRPr="00867F62" w:rsidRDefault="00421A2D" w:rsidP="00867F62">
            <w:pPr>
              <w:pStyle w:val="Contedodatabela"/>
              <w:numPr>
                <w:ilvl w:val="0"/>
                <w:numId w:val="4"/>
              </w:numPr>
              <w:jc w:val="both"/>
              <w:rPr>
                <w:sz w:val="22"/>
                <w:szCs w:val="22"/>
              </w:rPr>
            </w:pPr>
            <w:r w:rsidRPr="00867F62">
              <w:rPr>
                <w:sz w:val="22"/>
                <w:szCs w:val="22"/>
              </w:rPr>
              <w:t xml:space="preserve">Troca das coberturas para telhado semelhante ao da locomotiva; </w:t>
            </w:r>
          </w:p>
          <w:p w:rsidR="00421A2D" w:rsidRPr="00867F62" w:rsidRDefault="00421A2D" w:rsidP="00867F62">
            <w:pPr>
              <w:pStyle w:val="Contedodatabela"/>
              <w:numPr>
                <w:ilvl w:val="0"/>
                <w:numId w:val="4"/>
              </w:numPr>
              <w:jc w:val="both"/>
              <w:rPr>
                <w:sz w:val="22"/>
                <w:szCs w:val="22"/>
              </w:rPr>
            </w:pPr>
            <w:r w:rsidRPr="00867F62">
              <w:rPr>
                <w:sz w:val="22"/>
                <w:szCs w:val="22"/>
              </w:rPr>
              <w:t xml:space="preserve">Acoplagem da locomotiva na torre sextavada através de 04 chapa de união metálica medindo 250x150mm. </w:t>
            </w:r>
          </w:p>
          <w:p w:rsidR="00421A2D" w:rsidRPr="00867F62" w:rsidRDefault="00421A2D" w:rsidP="00867F62">
            <w:pPr>
              <w:pStyle w:val="Contedodatabela"/>
              <w:numPr>
                <w:ilvl w:val="0"/>
                <w:numId w:val="4"/>
              </w:numPr>
              <w:jc w:val="both"/>
              <w:rPr>
                <w:sz w:val="22"/>
                <w:szCs w:val="22"/>
              </w:rPr>
            </w:pPr>
            <w:r w:rsidRPr="00867F62">
              <w:rPr>
                <w:sz w:val="22"/>
                <w:szCs w:val="22"/>
              </w:rPr>
              <w:t xml:space="preserve">Fixada com parafusos 10mm com porcas e arruelas zincadas; </w:t>
            </w:r>
          </w:p>
        </w:tc>
        <w:tc>
          <w:tcPr>
            <w:tcW w:w="1276" w:type="dxa"/>
          </w:tcPr>
          <w:p w:rsidR="00421A2D" w:rsidRPr="00867F62" w:rsidRDefault="00421A2D" w:rsidP="00867F62">
            <w:pPr>
              <w:pStyle w:val="Contedodatabela"/>
              <w:jc w:val="center"/>
              <w:rPr>
                <w:sz w:val="22"/>
                <w:szCs w:val="22"/>
              </w:rPr>
            </w:pPr>
            <w:r w:rsidRPr="00867F62">
              <w:rPr>
                <w:sz w:val="22"/>
                <w:szCs w:val="22"/>
              </w:rPr>
              <w:t>1,0</w:t>
            </w:r>
          </w:p>
        </w:tc>
        <w:tc>
          <w:tcPr>
            <w:tcW w:w="992" w:type="dxa"/>
          </w:tcPr>
          <w:p w:rsidR="00421A2D" w:rsidRPr="00867F62" w:rsidRDefault="00421A2D" w:rsidP="00867F62">
            <w:pPr>
              <w:pStyle w:val="Contedodatabela"/>
              <w:jc w:val="center"/>
              <w:rPr>
                <w:sz w:val="22"/>
                <w:szCs w:val="22"/>
              </w:rPr>
            </w:pPr>
            <w:proofErr w:type="spellStart"/>
            <w:r w:rsidRPr="00867F62">
              <w:rPr>
                <w:sz w:val="22"/>
                <w:szCs w:val="22"/>
              </w:rPr>
              <w:t>Und</w:t>
            </w:r>
            <w:proofErr w:type="spellEnd"/>
          </w:p>
        </w:tc>
        <w:tc>
          <w:tcPr>
            <w:tcW w:w="1276" w:type="dxa"/>
          </w:tcPr>
          <w:p w:rsidR="00421A2D" w:rsidRPr="00867F62" w:rsidRDefault="00421A2D" w:rsidP="00867F62">
            <w:pPr>
              <w:pStyle w:val="Contedodatabela"/>
              <w:jc w:val="right"/>
              <w:rPr>
                <w:sz w:val="22"/>
                <w:szCs w:val="22"/>
              </w:rPr>
            </w:pPr>
          </w:p>
        </w:tc>
      </w:tr>
      <w:tr w:rsidR="00421A2D" w:rsidRPr="00867F62" w:rsidTr="00867F62">
        <w:tc>
          <w:tcPr>
            <w:tcW w:w="554" w:type="dxa"/>
          </w:tcPr>
          <w:p w:rsidR="00421A2D" w:rsidRPr="00867F62" w:rsidRDefault="00421A2D" w:rsidP="00867F62">
            <w:pPr>
              <w:pStyle w:val="Contedodatabela"/>
              <w:jc w:val="center"/>
              <w:rPr>
                <w:sz w:val="22"/>
                <w:szCs w:val="22"/>
              </w:rPr>
            </w:pPr>
          </w:p>
        </w:tc>
        <w:tc>
          <w:tcPr>
            <w:tcW w:w="580" w:type="dxa"/>
          </w:tcPr>
          <w:p w:rsidR="00421A2D" w:rsidRPr="00867F62" w:rsidRDefault="00421A2D" w:rsidP="00867F62">
            <w:pPr>
              <w:pStyle w:val="Contedodatabela"/>
              <w:jc w:val="center"/>
              <w:rPr>
                <w:sz w:val="22"/>
                <w:szCs w:val="22"/>
              </w:rPr>
            </w:pPr>
          </w:p>
        </w:tc>
        <w:tc>
          <w:tcPr>
            <w:tcW w:w="5103" w:type="dxa"/>
          </w:tcPr>
          <w:p w:rsidR="00421A2D" w:rsidRPr="00867F62" w:rsidRDefault="00421A2D" w:rsidP="00867F62">
            <w:pPr>
              <w:pStyle w:val="Contedodatabela"/>
              <w:jc w:val="both"/>
              <w:rPr>
                <w:sz w:val="22"/>
                <w:szCs w:val="22"/>
              </w:rPr>
            </w:pPr>
          </w:p>
        </w:tc>
        <w:tc>
          <w:tcPr>
            <w:tcW w:w="1276" w:type="dxa"/>
          </w:tcPr>
          <w:p w:rsidR="00421A2D" w:rsidRPr="00867F62" w:rsidRDefault="00421A2D" w:rsidP="00867F62">
            <w:pPr>
              <w:pStyle w:val="Contedodatabela"/>
              <w:jc w:val="center"/>
              <w:rPr>
                <w:sz w:val="22"/>
                <w:szCs w:val="22"/>
              </w:rPr>
            </w:pPr>
          </w:p>
        </w:tc>
        <w:tc>
          <w:tcPr>
            <w:tcW w:w="992" w:type="dxa"/>
          </w:tcPr>
          <w:p w:rsidR="00421A2D" w:rsidRPr="00867F62" w:rsidRDefault="00421A2D" w:rsidP="00867F62">
            <w:pPr>
              <w:pStyle w:val="Contedodatabela"/>
              <w:jc w:val="center"/>
              <w:rPr>
                <w:b/>
                <w:sz w:val="22"/>
                <w:szCs w:val="22"/>
              </w:rPr>
            </w:pPr>
            <w:r w:rsidRPr="00867F62">
              <w:rPr>
                <w:b/>
                <w:sz w:val="22"/>
                <w:szCs w:val="22"/>
              </w:rPr>
              <w:t>TOTAL</w:t>
            </w:r>
          </w:p>
        </w:tc>
        <w:tc>
          <w:tcPr>
            <w:tcW w:w="1276" w:type="dxa"/>
          </w:tcPr>
          <w:p w:rsidR="00421A2D" w:rsidRPr="00867F62" w:rsidRDefault="00421A2D" w:rsidP="00867F62">
            <w:pPr>
              <w:pStyle w:val="Contedodatabela"/>
              <w:jc w:val="right"/>
              <w:rPr>
                <w:b/>
                <w:sz w:val="22"/>
                <w:szCs w:val="22"/>
              </w:rPr>
            </w:pPr>
          </w:p>
        </w:tc>
      </w:tr>
    </w:tbl>
    <w:p w:rsidR="00A3743B" w:rsidRPr="00867F62" w:rsidRDefault="00A3743B" w:rsidP="00867F62">
      <w:pPr>
        <w:jc w:val="both"/>
        <w:rPr>
          <w:sz w:val="22"/>
          <w:szCs w:val="22"/>
        </w:rPr>
      </w:pPr>
    </w:p>
    <w:p w:rsidR="00A3743B" w:rsidRPr="00867F62" w:rsidRDefault="00867F62"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 xml:space="preserve">CLÁUSULA TERCEIRA – DO PRAZO, GARANTIA </w:t>
      </w:r>
      <w:r w:rsidR="001800F4" w:rsidRPr="00867F62">
        <w:rPr>
          <w:rFonts w:ascii="Times New Roman" w:hAnsi="Times New Roman" w:cs="Times New Roman"/>
          <w:b/>
          <w:bCs/>
          <w:sz w:val="22"/>
          <w:szCs w:val="22"/>
        </w:rPr>
        <w:t>E LOCAL DO FORNECIMENTO</w:t>
      </w:r>
    </w:p>
    <w:p w:rsidR="00A3743B" w:rsidRPr="00867F62" w:rsidRDefault="00867F62"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a) O contrato terá vigência a partir da data de sua assinatura até a total entrega e instalação do objeto. </w:t>
      </w:r>
    </w:p>
    <w:p w:rsidR="00A3743B" w:rsidRPr="00867F62" w:rsidRDefault="00867F62"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A garantia do objeto será de no mínimo 12 meses.</w:t>
      </w:r>
    </w:p>
    <w:p w:rsidR="00867F62" w:rsidRPr="00867F62" w:rsidRDefault="00867F62"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c) O objeto será entrega e instalado na Praça </w:t>
      </w:r>
      <w:proofErr w:type="spellStart"/>
      <w:r w:rsidRPr="00867F62">
        <w:rPr>
          <w:rFonts w:ascii="Times New Roman" w:hAnsi="Times New Roman" w:cs="Times New Roman"/>
          <w:sz w:val="22"/>
          <w:szCs w:val="22"/>
        </w:rPr>
        <w:t>Izidoro</w:t>
      </w:r>
      <w:proofErr w:type="spellEnd"/>
      <w:r w:rsidRPr="00867F62">
        <w:rPr>
          <w:rFonts w:ascii="Times New Roman" w:hAnsi="Times New Roman" w:cs="Times New Roman"/>
          <w:sz w:val="22"/>
          <w:szCs w:val="22"/>
        </w:rPr>
        <w:t xml:space="preserve"> Jose </w:t>
      </w:r>
      <w:proofErr w:type="spellStart"/>
      <w:r w:rsidRPr="00867F62">
        <w:rPr>
          <w:rFonts w:ascii="Times New Roman" w:hAnsi="Times New Roman" w:cs="Times New Roman"/>
          <w:sz w:val="22"/>
          <w:szCs w:val="22"/>
        </w:rPr>
        <w:t>Brancher</w:t>
      </w:r>
      <w:proofErr w:type="spellEnd"/>
      <w:r w:rsidRPr="00867F62">
        <w:rPr>
          <w:rFonts w:ascii="Times New Roman" w:hAnsi="Times New Roman" w:cs="Times New Roman"/>
          <w:sz w:val="22"/>
          <w:szCs w:val="22"/>
        </w:rPr>
        <w:t xml:space="preserve"> – Centro.</w:t>
      </w:r>
    </w:p>
    <w:p w:rsidR="00867F62" w:rsidRPr="00867F62" w:rsidRDefault="00867F62"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CLÁUSULA QUARTA– DO PREÇO</w:t>
      </w:r>
    </w:p>
    <w:p w:rsidR="00A3743B" w:rsidRPr="00867F62" w:rsidRDefault="00867F62"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a) </w:t>
      </w:r>
      <w:r w:rsidR="001800F4" w:rsidRPr="00867F62">
        <w:rPr>
          <w:rFonts w:ascii="Times New Roman" w:hAnsi="Times New Roman" w:cs="Times New Roman"/>
          <w:sz w:val="22"/>
          <w:szCs w:val="22"/>
        </w:rPr>
        <w:t xml:space="preserve">O preço a ser pago pelo fornecimento do objeto do presente contrato é de R$ </w:t>
      </w:r>
      <w:proofErr w:type="spellStart"/>
      <w:r w:rsidR="001800F4" w:rsidRPr="00867F62">
        <w:rPr>
          <w:rFonts w:ascii="Times New Roman" w:hAnsi="Times New Roman" w:cs="Times New Roman"/>
          <w:sz w:val="22"/>
          <w:szCs w:val="22"/>
        </w:rPr>
        <w:t>xxx</w:t>
      </w:r>
      <w:proofErr w:type="spellEnd"/>
      <w:r w:rsidR="001800F4" w:rsidRPr="00867F62">
        <w:rPr>
          <w:rFonts w:ascii="Times New Roman" w:hAnsi="Times New Roman" w:cs="Times New Roman"/>
          <w:sz w:val="22"/>
          <w:szCs w:val="22"/>
        </w:rPr>
        <w:t xml:space="preserve"> (</w:t>
      </w:r>
      <w:proofErr w:type="spellStart"/>
      <w:r w:rsidR="001800F4" w:rsidRPr="00867F62">
        <w:rPr>
          <w:rFonts w:ascii="Times New Roman" w:hAnsi="Times New Roman" w:cs="Times New Roman"/>
          <w:sz w:val="22"/>
          <w:szCs w:val="22"/>
        </w:rPr>
        <w:t>rxxx</w:t>
      </w:r>
      <w:proofErr w:type="spellEnd"/>
      <w:r w:rsidR="001800F4" w:rsidRPr="00867F62">
        <w:rPr>
          <w:rFonts w:ascii="Times New Roman" w:hAnsi="Times New Roman" w:cs="Times New Roman"/>
          <w:sz w:val="22"/>
          <w:szCs w:val="22"/>
        </w:rPr>
        <w:t>), conforme a proposta ofertada pela CONTRATADA.</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CLÁUSULA QUINTA – DO PAGAMENTO</w:t>
      </w:r>
    </w:p>
    <w:p w:rsidR="00A3743B" w:rsidRPr="00867F62" w:rsidRDefault="00867F62"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a) </w:t>
      </w:r>
      <w:r w:rsidR="001800F4" w:rsidRPr="00867F62">
        <w:rPr>
          <w:rFonts w:ascii="Times New Roman" w:hAnsi="Times New Roman" w:cs="Times New Roman"/>
          <w:sz w:val="22"/>
          <w:szCs w:val="22"/>
        </w:rPr>
        <w:t xml:space="preserve">O </w:t>
      </w:r>
      <w:r w:rsidR="00421A2D" w:rsidRPr="00867F62">
        <w:rPr>
          <w:rFonts w:ascii="Times New Roman" w:hAnsi="Times New Roman" w:cs="Times New Roman"/>
          <w:sz w:val="22"/>
          <w:szCs w:val="22"/>
        </w:rPr>
        <w:t>pagamento será efetuado em até 1</w:t>
      </w:r>
      <w:r w:rsidR="001800F4" w:rsidRPr="00867F62">
        <w:rPr>
          <w:rFonts w:ascii="Times New Roman" w:hAnsi="Times New Roman" w:cs="Times New Roman"/>
          <w:sz w:val="22"/>
          <w:szCs w:val="22"/>
        </w:rPr>
        <w:t>0 dias após a prestação d</w:t>
      </w:r>
      <w:bookmarkStart w:id="0" w:name="_GoBack"/>
      <w:bookmarkEnd w:id="0"/>
      <w:r w:rsidR="001800F4" w:rsidRPr="00867F62">
        <w:rPr>
          <w:rFonts w:ascii="Times New Roman" w:hAnsi="Times New Roman" w:cs="Times New Roman"/>
          <w:sz w:val="22"/>
          <w:szCs w:val="22"/>
        </w:rPr>
        <w:t xml:space="preserve">os serviços, mediante a entrega do objeto e a apresentação de nota fiscal e aprovação da fiscalização da CONTRATANTE. </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CLÁUSULA SEXTA – DO RECURSO FINANCEIRO</w:t>
      </w:r>
    </w:p>
    <w:p w:rsidR="00A3743B" w:rsidRPr="00867F62" w:rsidRDefault="00867F62"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a) </w:t>
      </w:r>
      <w:r w:rsidR="001800F4" w:rsidRPr="00867F62">
        <w:rPr>
          <w:rFonts w:ascii="Times New Roman" w:hAnsi="Times New Roman" w:cs="Times New Roman"/>
          <w:sz w:val="22"/>
          <w:szCs w:val="22"/>
        </w:rPr>
        <w:t xml:space="preserve">As despesas do presente contrato correrão à conta das dotações orçamentárias </w:t>
      </w:r>
      <w:r w:rsidR="00421A2D" w:rsidRPr="00867F62">
        <w:rPr>
          <w:rFonts w:ascii="Times New Roman" w:hAnsi="Times New Roman" w:cs="Times New Roman"/>
          <w:sz w:val="22"/>
          <w:szCs w:val="22"/>
        </w:rPr>
        <w:t>constantes</w:t>
      </w:r>
      <w:r w:rsidR="001800F4" w:rsidRPr="00867F62">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A3743B" w:rsidRPr="00867F62">
        <w:tc>
          <w:tcPr>
            <w:tcW w:w="3212" w:type="dxa"/>
            <w:tcBorders>
              <w:top w:val="single" w:sz="2" w:space="0" w:color="000000"/>
              <w:left w:val="single" w:sz="2" w:space="0" w:color="000000"/>
              <w:bottom w:val="single" w:sz="2" w:space="0" w:color="000000"/>
            </w:tcBorders>
          </w:tcPr>
          <w:p w:rsidR="00A3743B" w:rsidRPr="00867F62" w:rsidRDefault="001800F4" w:rsidP="00867F62">
            <w:pPr>
              <w:pStyle w:val="Contedodatabela"/>
              <w:jc w:val="center"/>
              <w:rPr>
                <w:b/>
                <w:bCs/>
                <w:sz w:val="22"/>
                <w:szCs w:val="22"/>
              </w:rPr>
            </w:pPr>
            <w:r w:rsidRPr="00867F62">
              <w:rPr>
                <w:b/>
                <w:bCs/>
                <w:sz w:val="22"/>
                <w:szCs w:val="22"/>
              </w:rPr>
              <w:t>Dotação</w:t>
            </w:r>
          </w:p>
        </w:tc>
        <w:tc>
          <w:tcPr>
            <w:tcW w:w="3212" w:type="dxa"/>
            <w:tcBorders>
              <w:top w:val="single" w:sz="2" w:space="0" w:color="000000"/>
              <w:left w:val="single" w:sz="2" w:space="0" w:color="000000"/>
              <w:bottom w:val="single" w:sz="2" w:space="0" w:color="000000"/>
            </w:tcBorders>
          </w:tcPr>
          <w:p w:rsidR="00A3743B" w:rsidRPr="00867F62" w:rsidRDefault="001800F4" w:rsidP="00867F62">
            <w:pPr>
              <w:pStyle w:val="Contedodatabela"/>
              <w:jc w:val="center"/>
              <w:rPr>
                <w:b/>
                <w:bCs/>
                <w:sz w:val="22"/>
                <w:szCs w:val="22"/>
              </w:rPr>
            </w:pPr>
            <w:r w:rsidRPr="00867F62">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A3743B" w:rsidRPr="00867F62" w:rsidRDefault="001800F4" w:rsidP="00867F62">
            <w:pPr>
              <w:pStyle w:val="Contedodatabela"/>
              <w:jc w:val="center"/>
              <w:rPr>
                <w:b/>
                <w:bCs/>
                <w:sz w:val="22"/>
                <w:szCs w:val="22"/>
              </w:rPr>
            </w:pPr>
            <w:r w:rsidRPr="00867F62">
              <w:rPr>
                <w:b/>
                <w:bCs/>
                <w:sz w:val="22"/>
                <w:szCs w:val="22"/>
              </w:rPr>
              <w:t>Recurso Vinculado</w:t>
            </w:r>
          </w:p>
        </w:tc>
      </w:tr>
      <w:tr w:rsidR="00A3743B" w:rsidRPr="00867F62">
        <w:tc>
          <w:tcPr>
            <w:tcW w:w="3212" w:type="dxa"/>
            <w:tcBorders>
              <w:left w:val="single" w:sz="2" w:space="0" w:color="000000"/>
              <w:bottom w:val="single" w:sz="2" w:space="0" w:color="000000"/>
            </w:tcBorders>
          </w:tcPr>
          <w:p w:rsidR="00A3743B" w:rsidRPr="00867F62" w:rsidRDefault="001800F4" w:rsidP="00867F62">
            <w:pPr>
              <w:pStyle w:val="Contedodatabela"/>
              <w:jc w:val="center"/>
              <w:rPr>
                <w:sz w:val="22"/>
                <w:szCs w:val="22"/>
              </w:rPr>
            </w:pPr>
            <w:r w:rsidRPr="00867F62">
              <w:rPr>
                <w:sz w:val="22"/>
                <w:szCs w:val="22"/>
              </w:rPr>
              <w:t>3344</w:t>
            </w:r>
          </w:p>
        </w:tc>
        <w:tc>
          <w:tcPr>
            <w:tcW w:w="3212" w:type="dxa"/>
            <w:tcBorders>
              <w:left w:val="single" w:sz="2" w:space="0" w:color="000000"/>
              <w:bottom w:val="single" w:sz="2" w:space="0" w:color="000000"/>
            </w:tcBorders>
          </w:tcPr>
          <w:p w:rsidR="00A3743B" w:rsidRPr="00867F62" w:rsidRDefault="001800F4" w:rsidP="00867F62">
            <w:pPr>
              <w:pStyle w:val="Contedodatabela"/>
              <w:jc w:val="center"/>
              <w:rPr>
                <w:sz w:val="22"/>
                <w:szCs w:val="22"/>
              </w:rPr>
            </w:pPr>
            <w:r w:rsidRPr="00867F62">
              <w:rPr>
                <w:sz w:val="22"/>
                <w:szCs w:val="22"/>
              </w:rPr>
              <w:t>449051990700</w:t>
            </w:r>
          </w:p>
        </w:tc>
        <w:tc>
          <w:tcPr>
            <w:tcW w:w="3213" w:type="dxa"/>
            <w:tcBorders>
              <w:left w:val="single" w:sz="2" w:space="0" w:color="000000"/>
              <w:bottom w:val="single" w:sz="2" w:space="0" w:color="000000"/>
              <w:right w:val="single" w:sz="2" w:space="0" w:color="000000"/>
            </w:tcBorders>
          </w:tcPr>
          <w:p w:rsidR="00A3743B" w:rsidRPr="00867F62" w:rsidRDefault="001800F4" w:rsidP="00867F62">
            <w:pPr>
              <w:pStyle w:val="Contedodatabela"/>
              <w:jc w:val="center"/>
              <w:rPr>
                <w:sz w:val="22"/>
                <w:szCs w:val="22"/>
              </w:rPr>
            </w:pPr>
            <w:r w:rsidRPr="00867F62">
              <w:rPr>
                <w:sz w:val="22"/>
                <w:szCs w:val="22"/>
              </w:rPr>
              <w:t>2500</w:t>
            </w:r>
          </w:p>
        </w:tc>
      </w:tr>
    </w:tbl>
    <w:p w:rsidR="00A3743B" w:rsidRPr="00867F62" w:rsidRDefault="00A3743B" w:rsidP="00867F62">
      <w:pPr>
        <w:pStyle w:val="Standard"/>
        <w:jc w:val="both"/>
        <w:rPr>
          <w:rFonts w:ascii="Times New Roman" w:hAnsi="Times New Roman" w:cs="Times New Roman"/>
          <w:sz w:val="22"/>
          <w:szCs w:val="22"/>
        </w:rPr>
      </w:pPr>
    </w:p>
    <w:p w:rsidR="00867F62" w:rsidRPr="00867F62" w:rsidRDefault="00867F62" w:rsidP="00867F62">
      <w:pPr>
        <w:pStyle w:val="Standard"/>
        <w:jc w:val="both"/>
        <w:rPr>
          <w:rFonts w:ascii="Times New Roman" w:hAnsi="Times New Roman" w:cs="Times New Roman"/>
          <w:b/>
          <w:bCs/>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CLÁUSULA SÉTIMA – DA RESPONSABILIDADE DO CONTRATANTE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Caberá ao CONTRATANTE efetuar o pagamento pelo fornecimento do objeto do presente contrato de acordo com o estabelecido na cláusula quinta.</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CLÁUSULA OITAVA – DA RESPONSABILIDADE DA CONTRATADA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A CONTRATADA fica proibida de terceirizar o serviço da presente licitação;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e) A </w:t>
      </w:r>
      <w:r w:rsidR="00867F62" w:rsidRPr="00867F62">
        <w:rPr>
          <w:rFonts w:ascii="Times New Roman" w:hAnsi="Times New Roman" w:cs="Times New Roman"/>
          <w:sz w:val="22"/>
          <w:szCs w:val="22"/>
        </w:rPr>
        <w:t>CONTRATADA</w:t>
      </w:r>
      <w:r w:rsidRPr="00867F62">
        <w:rPr>
          <w:rFonts w:ascii="Times New Roman" w:hAnsi="Times New Roman" w:cs="Times New Roman"/>
          <w:sz w:val="22"/>
          <w:szCs w:val="22"/>
        </w:rPr>
        <w:t xml:space="preserve"> fica obrigada a aceitar, nas mesmas condições contratuais, os acréscimos e supressões que se fizerem necessários, até 25% (vinte e cinco por cento) do valor contratado inicialmente, devidamente atualizado.</w:t>
      </w:r>
    </w:p>
    <w:p w:rsidR="00A3743B" w:rsidRPr="00867F62" w:rsidRDefault="00867F62"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f) </w:t>
      </w:r>
      <w:r w:rsidRPr="00867F62">
        <w:rPr>
          <w:rFonts w:ascii="Times New Roman" w:hAnsi="Times New Roman" w:cs="Times New Roman"/>
          <w:sz w:val="22"/>
          <w:szCs w:val="22"/>
        </w:rPr>
        <w:t>A CONTRATADA fica obrigada a</w:t>
      </w:r>
      <w:r w:rsidRPr="00867F62">
        <w:rPr>
          <w:rFonts w:ascii="Times New Roman" w:hAnsi="Times New Roman" w:cs="Times New Roman"/>
          <w:sz w:val="22"/>
          <w:szCs w:val="22"/>
        </w:rPr>
        <w:t xml:space="preserve"> fornecer documento de PPCI do Objeto.</w:t>
      </w:r>
    </w:p>
    <w:p w:rsidR="00867F62" w:rsidRPr="00867F62" w:rsidRDefault="00867F62"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g) </w:t>
      </w:r>
      <w:r w:rsidRPr="00867F62">
        <w:rPr>
          <w:rFonts w:ascii="Times New Roman" w:hAnsi="Times New Roman" w:cs="Times New Roman"/>
          <w:sz w:val="22"/>
          <w:szCs w:val="22"/>
        </w:rPr>
        <w:t>A CONTRATADA fica obrigada a</w:t>
      </w:r>
      <w:r w:rsidRPr="00867F62">
        <w:rPr>
          <w:rFonts w:ascii="Times New Roman" w:hAnsi="Times New Roman" w:cs="Times New Roman"/>
          <w:sz w:val="22"/>
          <w:szCs w:val="22"/>
        </w:rPr>
        <w:t xml:space="preserve"> fornecer atestado de Engenheiro de Segurança da segurança e uso do Objeto.</w:t>
      </w:r>
    </w:p>
    <w:p w:rsidR="00867F62" w:rsidRPr="00867F62" w:rsidRDefault="00867F62"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h) </w:t>
      </w:r>
      <w:r w:rsidRPr="00867F62">
        <w:rPr>
          <w:rFonts w:ascii="Times New Roman" w:hAnsi="Times New Roman" w:cs="Times New Roman"/>
          <w:sz w:val="22"/>
          <w:szCs w:val="22"/>
        </w:rPr>
        <w:t>A CONTRATADA fica obrigada a</w:t>
      </w:r>
      <w:r w:rsidRPr="00867F62">
        <w:rPr>
          <w:rFonts w:ascii="Times New Roman" w:hAnsi="Times New Roman" w:cs="Times New Roman"/>
          <w:sz w:val="22"/>
          <w:szCs w:val="22"/>
        </w:rPr>
        <w:t xml:space="preserve"> fornecer diário de execução dos serviços que deverão ser emitidos e entregues na conclusão dos serviços juntamente com ART, RRT ou TRT.</w:t>
      </w:r>
    </w:p>
    <w:p w:rsidR="00867F62" w:rsidRPr="00867F62" w:rsidRDefault="00867F62"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CLÁUSULA NONA – DA GESTÃO DO CONTRATO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A execução do contrato deverá ser acompanhada e fiscalizada por XXXXX o ou por seu respectivo substituto.</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CLÁUSULA DÉCIMA – DAS PENALIDADES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CONTRATADA estará sujeita às seguintes penalidades, de conformidade ao item 17 do pregão que embasou o presente contrato: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a) advertência;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multa;</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c) impedimento de licitar e contratar, no âmbito da Administração Pública direta e indireta do órgão licitante, pelo prazo máximo de 3 (três) anos.</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A3743B" w:rsidRPr="00867F62" w:rsidRDefault="00A3743B" w:rsidP="00867F62">
      <w:pPr>
        <w:pStyle w:val="Standard"/>
        <w:jc w:val="both"/>
        <w:rPr>
          <w:rFonts w:ascii="Times New Roman" w:hAnsi="Times New Roman" w:cs="Times New Roman"/>
          <w:b/>
          <w:bCs/>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 xml:space="preserve">CLÁUSULA DÉCIMA PRIMEIRA – DA EXTINÇÃO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both"/>
        <w:rPr>
          <w:rFonts w:ascii="Times New Roman" w:hAnsi="Times New Roman" w:cs="Times New Roman"/>
          <w:b/>
          <w:bCs/>
          <w:sz w:val="22"/>
          <w:szCs w:val="22"/>
        </w:rPr>
      </w:pPr>
      <w:r w:rsidRPr="00867F62">
        <w:rPr>
          <w:rFonts w:ascii="Times New Roman" w:hAnsi="Times New Roman" w:cs="Times New Roman"/>
          <w:b/>
          <w:bCs/>
          <w:sz w:val="22"/>
          <w:szCs w:val="22"/>
        </w:rPr>
        <w:t>CLÁUSULA DÉCIMA SEGUNDA – DO FORO</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 xml:space="preserve">a) As partes elegem o foro da Comarca de Gaurama para dirimir quaisquer questões relacionadas ao presente contrato. </w:t>
      </w:r>
    </w:p>
    <w:p w:rsidR="00A3743B" w:rsidRPr="00867F62" w:rsidRDefault="001800F4" w:rsidP="00867F62">
      <w:pPr>
        <w:pStyle w:val="Standard"/>
        <w:jc w:val="both"/>
        <w:rPr>
          <w:rFonts w:ascii="Times New Roman" w:hAnsi="Times New Roman" w:cs="Times New Roman"/>
          <w:sz w:val="22"/>
          <w:szCs w:val="22"/>
        </w:rPr>
      </w:pPr>
      <w:r w:rsidRPr="00867F62">
        <w:rPr>
          <w:rFonts w:ascii="Times New Roman" w:hAnsi="Times New Roman" w:cs="Times New Roman"/>
          <w:sz w:val="22"/>
          <w:szCs w:val="22"/>
        </w:rPr>
        <w:t>b) E, por estarem justos e contratados, firmam o presente instrumento em 02 (duas) vias de igual teor e forma.</w:t>
      </w:r>
    </w:p>
    <w:p w:rsidR="00A3743B" w:rsidRPr="00867F62" w:rsidRDefault="00A3743B" w:rsidP="00867F62">
      <w:pPr>
        <w:pStyle w:val="Standard"/>
        <w:jc w:val="both"/>
        <w:rPr>
          <w:rFonts w:ascii="Times New Roman" w:hAnsi="Times New Roman" w:cs="Times New Roman"/>
          <w:sz w:val="22"/>
          <w:szCs w:val="22"/>
        </w:rPr>
      </w:pPr>
    </w:p>
    <w:p w:rsidR="00A3743B" w:rsidRPr="00867F62" w:rsidRDefault="001800F4" w:rsidP="00867F62">
      <w:pPr>
        <w:pStyle w:val="Standard"/>
        <w:jc w:val="center"/>
        <w:rPr>
          <w:rFonts w:ascii="Times New Roman" w:hAnsi="Times New Roman" w:cs="Times New Roman"/>
          <w:sz w:val="22"/>
          <w:szCs w:val="22"/>
        </w:rPr>
      </w:pPr>
      <w:r w:rsidRPr="00867F62">
        <w:rPr>
          <w:rFonts w:ascii="Times New Roman" w:hAnsi="Times New Roman" w:cs="Times New Roman"/>
          <w:sz w:val="22"/>
          <w:szCs w:val="22"/>
        </w:rPr>
        <w:t xml:space="preserve">Viadutos – RS, </w:t>
      </w:r>
      <w:proofErr w:type="spellStart"/>
      <w:r w:rsidRPr="00867F62">
        <w:rPr>
          <w:rFonts w:ascii="Times New Roman" w:hAnsi="Times New Roman" w:cs="Times New Roman"/>
          <w:sz w:val="22"/>
          <w:szCs w:val="22"/>
        </w:rPr>
        <w:t>xx</w:t>
      </w:r>
      <w:proofErr w:type="spellEnd"/>
      <w:r w:rsidRPr="00867F62">
        <w:rPr>
          <w:rFonts w:ascii="Times New Roman" w:hAnsi="Times New Roman" w:cs="Times New Roman"/>
          <w:sz w:val="22"/>
          <w:szCs w:val="22"/>
        </w:rPr>
        <w:t xml:space="preserve"> de </w:t>
      </w:r>
      <w:proofErr w:type="spellStart"/>
      <w:r w:rsidRPr="00867F62">
        <w:rPr>
          <w:rFonts w:ascii="Times New Roman" w:hAnsi="Times New Roman" w:cs="Times New Roman"/>
          <w:sz w:val="22"/>
          <w:szCs w:val="22"/>
        </w:rPr>
        <w:t>xxx</w:t>
      </w:r>
      <w:proofErr w:type="spellEnd"/>
      <w:r w:rsidRPr="00867F62">
        <w:rPr>
          <w:rFonts w:ascii="Times New Roman" w:hAnsi="Times New Roman" w:cs="Times New Roman"/>
          <w:sz w:val="22"/>
          <w:szCs w:val="22"/>
        </w:rPr>
        <w:t xml:space="preserve"> de 2024</w:t>
      </w:r>
    </w:p>
    <w:p w:rsidR="00A3743B" w:rsidRPr="00867F62" w:rsidRDefault="00A3743B" w:rsidP="00867F62">
      <w:pPr>
        <w:pStyle w:val="Standard"/>
        <w:jc w:val="center"/>
        <w:rPr>
          <w:rFonts w:ascii="Times New Roman" w:hAnsi="Times New Roman" w:cs="Times New Roman"/>
          <w:sz w:val="22"/>
          <w:szCs w:val="22"/>
        </w:rPr>
      </w:pPr>
    </w:p>
    <w:p w:rsidR="00A3743B" w:rsidRPr="00867F62" w:rsidRDefault="001800F4" w:rsidP="00867F62">
      <w:pPr>
        <w:pStyle w:val="Standard"/>
        <w:jc w:val="center"/>
        <w:rPr>
          <w:rFonts w:ascii="Times New Roman" w:hAnsi="Times New Roman" w:cs="Times New Roman"/>
          <w:sz w:val="22"/>
          <w:szCs w:val="22"/>
        </w:rPr>
      </w:pPr>
      <w:r w:rsidRPr="00867F62">
        <w:rPr>
          <w:rFonts w:ascii="Times New Roman" w:hAnsi="Times New Roman" w:cs="Times New Roman"/>
          <w:sz w:val="22"/>
          <w:szCs w:val="22"/>
        </w:rPr>
        <w:t>______________________</w:t>
      </w:r>
    </w:p>
    <w:p w:rsidR="00A3743B" w:rsidRPr="00867F62" w:rsidRDefault="001800F4" w:rsidP="00867F62">
      <w:pPr>
        <w:pStyle w:val="Standard"/>
        <w:jc w:val="center"/>
        <w:rPr>
          <w:rFonts w:ascii="Times New Roman" w:hAnsi="Times New Roman" w:cs="Times New Roman"/>
          <w:sz w:val="22"/>
          <w:szCs w:val="22"/>
        </w:rPr>
      </w:pPr>
      <w:proofErr w:type="spellStart"/>
      <w:proofErr w:type="gramStart"/>
      <w:r w:rsidRPr="00867F62">
        <w:rPr>
          <w:rFonts w:ascii="Times New Roman" w:hAnsi="Times New Roman" w:cs="Times New Roman"/>
          <w:sz w:val="22"/>
          <w:szCs w:val="22"/>
        </w:rPr>
        <w:t>xxxxx</w:t>
      </w:r>
      <w:proofErr w:type="spellEnd"/>
      <w:proofErr w:type="gramEnd"/>
    </w:p>
    <w:p w:rsidR="00A3743B" w:rsidRPr="00867F62" w:rsidRDefault="001800F4" w:rsidP="00867F62">
      <w:pPr>
        <w:pStyle w:val="Standard"/>
        <w:jc w:val="center"/>
        <w:rPr>
          <w:rFonts w:ascii="Times New Roman" w:hAnsi="Times New Roman" w:cs="Times New Roman"/>
          <w:sz w:val="22"/>
          <w:szCs w:val="22"/>
        </w:rPr>
      </w:pPr>
      <w:r w:rsidRPr="00867F62">
        <w:rPr>
          <w:rFonts w:ascii="Times New Roman" w:hAnsi="Times New Roman" w:cs="Times New Roman"/>
          <w:sz w:val="22"/>
          <w:szCs w:val="22"/>
        </w:rPr>
        <w:t>Prefeito</w:t>
      </w:r>
    </w:p>
    <w:sectPr w:rsidR="00A3743B" w:rsidRPr="00867F62" w:rsidSect="00EF30C0">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FF7" w:rsidRDefault="001800F4">
      <w:r>
        <w:separator/>
      </w:r>
    </w:p>
  </w:endnote>
  <w:endnote w:type="continuationSeparator" w:id="0">
    <w:p w:rsidR="001C1FF7" w:rsidRDefault="0018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43B" w:rsidRDefault="001800F4">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A3743B" w:rsidRDefault="001800F4">
                          <w:pPr>
                            <w:pStyle w:val="Rodap"/>
                          </w:pPr>
                          <w:r>
                            <w:rPr>
                              <w:rStyle w:val="Nmerodepgina"/>
                              <w:sz w:val="16"/>
                            </w:rPr>
                            <w:fldChar w:fldCharType="begin"/>
                          </w:r>
                          <w:r>
                            <w:rPr>
                              <w:rStyle w:val="Nmerodepgina"/>
                              <w:sz w:val="16"/>
                            </w:rPr>
                            <w:instrText>PAGE</w:instrText>
                          </w:r>
                          <w:r>
                            <w:rPr>
                              <w:rStyle w:val="Nmerodepgina"/>
                              <w:sz w:val="16"/>
                            </w:rPr>
                            <w:fldChar w:fldCharType="separate"/>
                          </w:r>
                          <w:r w:rsidR="00867F62">
                            <w:rPr>
                              <w:rStyle w:val="Nmerodepgina"/>
                              <w:noProof/>
                              <w:sz w:val="16"/>
                            </w:rPr>
                            <w:t>13</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A3743B" w:rsidRDefault="001800F4">
                    <w:pPr>
                      <w:pStyle w:val="Rodap"/>
                    </w:pPr>
                    <w:r>
                      <w:rPr>
                        <w:rStyle w:val="Nmerodepgina"/>
                        <w:sz w:val="16"/>
                      </w:rPr>
                      <w:fldChar w:fldCharType="begin"/>
                    </w:r>
                    <w:r>
                      <w:rPr>
                        <w:rStyle w:val="Nmerodepgina"/>
                        <w:sz w:val="16"/>
                      </w:rPr>
                      <w:instrText>PAGE</w:instrText>
                    </w:r>
                    <w:r>
                      <w:rPr>
                        <w:rStyle w:val="Nmerodepgina"/>
                        <w:sz w:val="16"/>
                      </w:rPr>
                      <w:fldChar w:fldCharType="separate"/>
                    </w:r>
                    <w:r w:rsidR="00867F62">
                      <w:rPr>
                        <w:rStyle w:val="Nmerodepgina"/>
                        <w:noProof/>
                        <w:sz w:val="16"/>
                      </w:rPr>
                      <w:t>13</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FF7" w:rsidRDefault="001800F4">
      <w:r>
        <w:separator/>
      </w:r>
    </w:p>
  </w:footnote>
  <w:footnote w:type="continuationSeparator" w:id="0">
    <w:p w:rsidR="001C1FF7" w:rsidRDefault="00180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0C0" w:rsidRDefault="00EF30C0">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45C76AF1" wp14:editId="0E5E7B7E">
          <wp:simplePos x="0" y="0"/>
          <wp:positionH relativeFrom="column">
            <wp:posOffset>3810</wp:posOffset>
          </wp:positionH>
          <wp:positionV relativeFrom="paragraph">
            <wp:posOffset>10160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EF30C0" w:rsidRDefault="00EF30C0">
    <w:pPr>
      <w:tabs>
        <w:tab w:val="center" w:pos="4419"/>
        <w:tab w:val="right" w:pos="8838"/>
      </w:tabs>
      <w:overflowPunct/>
      <w:autoSpaceDE/>
      <w:jc w:val="center"/>
      <w:textAlignment w:val="auto"/>
      <w:rPr>
        <w:rFonts w:ascii="Century Gothic" w:hAnsi="Century Gothic" w:cs="Century Gothic"/>
        <w:b/>
        <w:sz w:val="22"/>
        <w:lang w:eastAsia="pt-BR"/>
      </w:rPr>
    </w:pPr>
  </w:p>
  <w:p w:rsidR="00A3743B" w:rsidRDefault="001800F4">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A3743B" w:rsidRDefault="001800F4">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A3743B" w:rsidRDefault="00A3743B">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20F81"/>
    <w:multiLevelType w:val="hybridMultilevel"/>
    <w:tmpl w:val="0C662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5606E52"/>
    <w:multiLevelType w:val="hybridMultilevel"/>
    <w:tmpl w:val="F2F076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E4B2D3C"/>
    <w:multiLevelType w:val="multilevel"/>
    <w:tmpl w:val="1C762F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abstractNum w:abstractNumId="3">
    <w:nsid w:val="7FEF4E55"/>
    <w:multiLevelType w:val="hybridMultilevel"/>
    <w:tmpl w:val="9E525E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A3743B"/>
    <w:rsid w:val="001800F4"/>
    <w:rsid w:val="001C1FF7"/>
    <w:rsid w:val="00421A2D"/>
    <w:rsid w:val="0059259B"/>
    <w:rsid w:val="00867F62"/>
    <w:rsid w:val="00A3743B"/>
    <w:rsid w:val="00AB3D48"/>
    <w:rsid w:val="00EF30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A2B10-7D27-438C-8281-44A0B0B8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13</Pages>
  <Words>6552</Words>
  <Characters>35381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36</cp:revision>
  <dcterms:created xsi:type="dcterms:W3CDTF">2023-06-05T10:43:00Z</dcterms:created>
  <dcterms:modified xsi:type="dcterms:W3CDTF">2025-11-06T12:56:00Z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