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B7" w:rsidRPr="00947B4E" w:rsidRDefault="009E28F6" w:rsidP="00D659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ESTUDO TÉCNICO PRELIMINAR</w:t>
      </w:r>
    </w:p>
    <w:p w:rsidR="003578B7" w:rsidRPr="00947B4E" w:rsidRDefault="003578B7" w:rsidP="00D659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3578B7" w:rsidRPr="00947B4E" w:rsidRDefault="009E28F6" w:rsidP="00D659A4">
      <w:pPr>
        <w:ind w:left="3402"/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Necessidade da Administração: Contratação de empresa para o fornecimento de estruturas de basquete, </w:t>
      </w:r>
      <w:r w:rsidR="00D659A4" w:rsidRPr="00947B4E">
        <w:rPr>
          <w:sz w:val="22"/>
          <w:szCs w:val="22"/>
        </w:rPr>
        <w:t>instalação</w:t>
      </w:r>
      <w:r w:rsidRPr="00947B4E">
        <w:rPr>
          <w:sz w:val="22"/>
          <w:szCs w:val="22"/>
        </w:rPr>
        <w:t xml:space="preserve"> de grades, corrimão, tela e instalação de calha.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1. DESCRIÇÃO DA NECESSIDADE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O objeto da presente é a contratação</w:t>
      </w:r>
      <w:r w:rsidR="00E461F8">
        <w:rPr>
          <w:sz w:val="22"/>
          <w:szCs w:val="22"/>
        </w:rPr>
        <w:t xml:space="preserve"> de empresa especializada para a</w:t>
      </w:r>
      <w:r w:rsidRPr="00947B4E">
        <w:rPr>
          <w:sz w:val="22"/>
          <w:szCs w:val="22"/>
        </w:rPr>
        <w:t xml:space="preserve"> </w:t>
      </w:r>
      <w:r w:rsidRPr="00947B4E">
        <w:rPr>
          <w:b/>
          <w:sz w:val="22"/>
          <w:szCs w:val="22"/>
        </w:rPr>
        <w:t xml:space="preserve">Contratação de empresa para o fornecimento de estruturas de basquete, </w:t>
      </w:r>
      <w:r w:rsidR="00D659A4" w:rsidRPr="00947B4E">
        <w:rPr>
          <w:b/>
          <w:sz w:val="22"/>
          <w:szCs w:val="22"/>
        </w:rPr>
        <w:t>instalação</w:t>
      </w:r>
      <w:r w:rsidRPr="00947B4E">
        <w:rPr>
          <w:b/>
          <w:sz w:val="22"/>
          <w:szCs w:val="22"/>
        </w:rPr>
        <w:t xml:space="preserve"> de grades, corrimão, tela e instalação de calha.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bCs/>
          <w:sz w:val="22"/>
          <w:szCs w:val="22"/>
        </w:rPr>
      </w:pPr>
      <w:r w:rsidRPr="00947B4E">
        <w:rPr>
          <w:b/>
          <w:bCs/>
          <w:sz w:val="22"/>
          <w:szCs w:val="22"/>
        </w:rPr>
        <w:t>2. ALINHAMENTO ENTRE A CONTRATAÇÃO E O PLANEJAMENTO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A contratação pretendida está prevista no Plano de Contratações Anual do Município de Vi</w:t>
      </w:r>
      <w:r w:rsidR="00D659A4" w:rsidRPr="00947B4E">
        <w:rPr>
          <w:sz w:val="22"/>
          <w:szCs w:val="22"/>
        </w:rPr>
        <w:t>adutos, como se vê do item n° 80</w:t>
      </w:r>
      <w:r w:rsidRPr="00947B4E">
        <w:rPr>
          <w:sz w:val="22"/>
          <w:szCs w:val="22"/>
        </w:rPr>
        <w:t xml:space="preserve"> daquele documento, estando assim alinhada com o planejamento desta Administração.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3. DESCRIÇÃO DOS REQUISITOS DA CONTRATAÇÃO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Os bens/serviços ora contratados têm natureza de bens/serviços comuns, tendo em vista que seus </w:t>
      </w:r>
      <w:r w:rsidRPr="00947B4E"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 w:rsidRPr="00947B4E">
        <w:rPr>
          <w:sz w:val="22"/>
          <w:szCs w:val="22"/>
        </w:rPr>
        <w:t>nos termos do art. 6º, inciso XIII, da Lei Federal nº 14.133/2021.</w:t>
      </w:r>
    </w:p>
    <w:p w:rsidR="003578B7" w:rsidRPr="00947B4E" w:rsidRDefault="009E28F6" w:rsidP="00D659A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47B4E">
        <w:rPr>
          <w:rFonts w:ascii="Times New Roman" w:eastAsia="Times New Roman" w:hAnsi="Times New Roman" w:cs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objeto da licitação: Contratação de empresa para o fornecimento de estruturas de basquete, </w:t>
      </w:r>
      <w:r w:rsidR="00D659A4" w:rsidRPr="00947B4E">
        <w:rPr>
          <w:rFonts w:ascii="Times New Roman" w:eastAsia="Times New Roman" w:hAnsi="Times New Roman" w:cs="Times New Roman"/>
          <w:sz w:val="22"/>
          <w:szCs w:val="22"/>
        </w:rPr>
        <w:t>instalação</w:t>
      </w:r>
      <w:r w:rsidRPr="00947B4E">
        <w:rPr>
          <w:rFonts w:ascii="Times New Roman" w:eastAsia="Times New Roman" w:hAnsi="Times New Roman" w:cs="Times New Roman"/>
          <w:sz w:val="22"/>
          <w:szCs w:val="22"/>
        </w:rPr>
        <w:t xml:space="preserve"> de grades, corrim</w:t>
      </w:r>
      <w:r w:rsidR="00D659A4" w:rsidRPr="00947B4E">
        <w:rPr>
          <w:rFonts w:ascii="Times New Roman" w:eastAsia="Times New Roman" w:hAnsi="Times New Roman" w:cs="Times New Roman"/>
          <w:sz w:val="22"/>
          <w:szCs w:val="22"/>
        </w:rPr>
        <w:t>ão, tela e instalação de calha.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4. ESTIMATIVA DAS QUANTIDADES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 w:rsidRPr="00947B4E">
        <w:rPr>
          <w:color w:val="000000"/>
          <w:sz w:val="22"/>
          <w:szCs w:val="22"/>
        </w:rPr>
        <w:t xml:space="preserve">partindo da Solicitação Interna </w:t>
      </w:r>
      <w:r w:rsidRPr="00947B4E">
        <w:rPr>
          <w:b/>
          <w:color w:val="000000"/>
          <w:sz w:val="22"/>
          <w:szCs w:val="22"/>
        </w:rPr>
        <w:t>nº 379/2025</w:t>
      </w:r>
      <w:r w:rsidRPr="00947B4E">
        <w:rPr>
          <w:color w:val="000000"/>
          <w:sz w:val="22"/>
          <w:szCs w:val="22"/>
        </w:rPr>
        <w:t xml:space="preserve">, que possui como objetivo: Contratação de empresa para o fornecimento de estruturas de basquete, </w:t>
      </w:r>
      <w:r w:rsidR="00D659A4" w:rsidRPr="00947B4E">
        <w:rPr>
          <w:color w:val="000000"/>
          <w:sz w:val="22"/>
          <w:szCs w:val="22"/>
        </w:rPr>
        <w:t>instalação</w:t>
      </w:r>
      <w:r w:rsidRPr="00947B4E">
        <w:rPr>
          <w:color w:val="000000"/>
          <w:sz w:val="22"/>
          <w:szCs w:val="22"/>
        </w:rPr>
        <w:t xml:space="preserve"> de grades, corrimão, tela e instalação de calha.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5. ALTERNATIVAS DISPONÍVEIS NO MERCADO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</w:t>
      </w:r>
      <w:r w:rsidRPr="00947B4E">
        <w:rPr>
          <w:b/>
          <w:sz w:val="22"/>
          <w:szCs w:val="22"/>
        </w:rPr>
        <w:t xml:space="preserve">Contratação de empresa para o fornecimento de estruturas de basquete, </w:t>
      </w:r>
      <w:r w:rsidR="00D659A4" w:rsidRPr="00947B4E">
        <w:rPr>
          <w:b/>
          <w:sz w:val="22"/>
          <w:szCs w:val="22"/>
        </w:rPr>
        <w:t>instalação</w:t>
      </w:r>
      <w:r w:rsidRPr="00947B4E">
        <w:rPr>
          <w:b/>
          <w:sz w:val="22"/>
          <w:szCs w:val="22"/>
        </w:rPr>
        <w:t xml:space="preserve"> de grades, corrimão, tela e instalação de calha.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6. ESTIMATIVA DO VALOR DA CONTRATAÇÃO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704"/>
        <w:gridCol w:w="3339"/>
        <w:gridCol w:w="1223"/>
        <w:gridCol w:w="1127"/>
        <w:gridCol w:w="1388"/>
        <w:gridCol w:w="1296"/>
      </w:tblGrid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Total</w:t>
            </w:r>
          </w:p>
        </w:tc>
      </w:tr>
      <w:tr w:rsidR="00947B4E" w:rsidRPr="00947B4E" w:rsidTr="00947B4E">
        <w:tc>
          <w:tcPr>
            <w:tcW w:w="9781" w:type="dxa"/>
            <w:gridSpan w:val="7"/>
          </w:tcPr>
          <w:p w:rsidR="00947B4E" w:rsidRPr="00E461F8" w:rsidRDefault="00947B4E" w:rsidP="00E379A9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01 GINÁSIO EMEF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Estrutura para cesta de basquete   altura 2,80 metros, comprimento 4,10 metros com tubo quadrado 70x70 </w:t>
            </w:r>
            <w:r w:rsidR="00B83936">
              <w:rPr>
                <w:sz w:val="22"/>
                <w:szCs w:val="22"/>
              </w:rPr>
              <w:t xml:space="preserve">mm, </w:t>
            </w:r>
            <w:r w:rsidRPr="00947B4E">
              <w:rPr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  R$ 1.996,66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 R$ 1.996,66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Estrutura para cesta de basquete   </w:t>
            </w:r>
            <w:r w:rsidRPr="00947B4E">
              <w:rPr>
                <w:sz w:val="22"/>
                <w:szCs w:val="22"/>
              </w:rPr>
              <w:lastRenderedPageBreak/>
              <w:t xml:space="preserve">altura 2,80 metros, comprimento 2,20 metros com tubo quadrado 70x70 </w:t>
            </w:r>
            <w:r w:rsidR="00B83936">
              <w:rPr>
                <w:sz w:val="22"/>
                <w:szCs w:val="22"/>
              </w:rPr>
              <w:t xml:space="preserve">mm, </w:t>
            </w:r>
            <w:bookmarkStart w:id="0" w:name="_GoBack"/>
            <w:bookmarkEnd w:id="0"/>
            <w:r w:rsidRPr="00947B4E">
              <w:rPr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R$ 1.796,66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R$ 1.796,66</w:t>
            </w:r>
          </w:p>
        </w:tc>
      </w:tr>
      <w:tr w:rsidR="00E461F8" w:rsidRPr="00947B4E" w:rsidTr="00276ABF">
        <w:tc>
          <w:tcPr>
            <w:tcW w:w="9781" w:type="dxa"/>
            <w:gridSpan w:val="7"/>
          </w:tcPr>
          <w:p w:rsidR="00E461F8" w:rsidRPr="00E461F8" w:rsidRDefault="00E461F8" w:rsidP="00E461F8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lastRenderedPageBreak/>
              <w:t xml:space="preserve">LOTE 02 GINÁSIO MUNICIPAL 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ferro redondo 3/8 com cantoneira e tubo 1 polegada e meia, comprimento de 3,10 x 1,15 altura. Na cor verde. Estrutura deverá ser instalada.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R$ 1.089,33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R$ 1.089,33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ferro redondo 3/8 com cantoneira e tubo 1 polegada e meia, comprimento de 2,05 x 1,00 altura. Na cor verde. Estrutura deverá ser instalada.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R$ 671,66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R$ 671,66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Substituição de 3 metros de tela malha 7, de 1,20 metros de altura, fio 2,5 na cor verde, fixada em estrutura de tubo redondo de 2 polegadas de 3 metros de comprimento x 1,20 de altura na cor verde.  Estrutura deverá ser instalada atrás da goleira em parede de alvenaria no Ginásio Municipal.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R$ 538,66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R$ 1.615,98</w:t>
            </w:r>
          </w:p>
        </w:tc>
      </w:tr>
      <w:tr w:rsidR="00E461F8" w:rsidRPr="00947B4E" w:rsidTr="00FD224D">
        <w:tc>
          <w:tcPr>
            <w:tcW w:w="9781" w:type="dxa"/>
            <w:gridSpan w:val="7"/>
          </w:tcPr>
          <w:p w:rsidR="00E461F8" w:rsidRPr="00E461F8" w:rsidRDefault="00E461F8" w:rsidP="00E461F8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03 PRÉDIO EMEI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8 metros de corrimão com tubo redondo de 1 polegada, parede de 1,20, altura de 0,80 a 0,92 metros, tudo de 1, no centro da escada e rampa de acesso da EMEI, instalado e pintado na cor branco.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R$ 1.313,33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R$ 1.313,33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Readequação porta principal de acesso a EMEI, sendo esta a retirada e alteração de sentido de abertura para fins de liberação do Alvará de PPCI dos Bombeiros.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R$ 1.743,33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R$ 1.743,33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Readequação e fixação do corrimão com 0,86 metros de altura e 4,90 metros de comprimento localizado no acesso lateral da EMEI, sendo este a instalação de barras verticais </w:t>
            </w:r>
            <w:r w:rsidRPr="00947B4E">
              <w:rPr>
                <w:sz w:val="22"/>
                <w:szCs w:val="22"/>
              </w:rPr>
              <w:lastRenderedPageBreak/>
              <w:t>de de ferro 5.16 e a cantoneira horizontal de 3/4. Estrutura em cor branca.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R$ 756,66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R$ 756,66</w:t>
            </w:r>
          </w:p>
        </w:tc>
      </w:tr>
      <w:tr w:rsidR="00E461F8" w:rsidRPr="00947B4E" w:rsidTr="00DF669F">
        <w:tc>
          <w:tcPr>
            <w:tcW w:w="9781" w:type="dxa"/>
            <w:gridSpan w:val="7"/>
          </w:tcPr>
          <w:p w:rsidR="00E461F8" w:rsidRPr="00E461F8" w:rsidRDefault="00E461F8" w:rsidP="00E461F8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LOTE 04 </w:t>
            </w:r>
            <w:r w:rsidRPr="00E461F8">
              <w:rPr>
                <w:b/>
                <w:sz w:val="22"/>
                <w:szCs w:val="22"/>
              </w:rPr>
              <w:t>BIBLIOTECA MUNICIPAL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Reinstalação de 12 metros de calha com novos suportes de fixação e abertura de vão de saída de agua no centro da mesma.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R$ 341,66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R$ 341,66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1.60 mts x 1,30 metros com ferro quadrado 5.16 e cantoneiras 3/4, na cor branca. A estrutura deverá ser instalada.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R$ 732,66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R$ 2.197,98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1.20 mts x 2.10 mts com fe</w:t>
            </w:r>
            <w:r w:rsidR="00E461F8">
              <w:rPr>
                <w:sz w:val="22"/>
                <w:szCs w:val="22"/>
              </w:rPr>
              <w:t>rro quadrado 5.16 e cantoneira</w:t>
            </w:r>
            <w:r w:rsidRPr="00947B4E">
              <w:rPr>
                <w:sz w:val="22"/>
                <w:szCs w:val="22"/>
              </w:rPr>
              <w:t xml:space="preserve">. Na cor branca. A estrutura deverá ser instalada 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R$ 1.450,00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R$ 1.450,00</w:t>
            </w:r>
          </w:p>
        </w:tc>
      </w:tr>
      <w:tr w:rsidR="00E461F8" w:rsidRPr="00947B4E" w:rsidTr="0052050C">
        <w:tc>
          <w:tcPr>
            <w:tcW w:w="9781" w:type="dxa"/>
            <w:gridSpan w:val="7"/>
          </w:tcPr>
          <w:p w:rsidR="00E461F8" w:rsidRPr="00062E24" w:rsidRDefault="00062E24" w:rsidP="00062E2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LOTE 05 </w:t>
            </w:r>
            <w:r w:rsidRPr="00062E24">
              <w:rPr>
                <w:b/>
                <w:sz w:val="22"/>
                <w:szCs w:val="22"/>
              </w:rPr>
              <w:t>PRÉDIO UBS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5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Grades para janela nas dimensões 1,50 x 1,50 m já instalada e pintada na cor branca conforme anexo desenho.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R$ 1.050,00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R$ 3.150,00</w:t>
            </w:r>
          </w:p>
        </w:tc>
      </w:tr>
      <w:tr w:rsidR="00E461F8" w:rsidRPr="00947B4E" w:rsidTr="00A23C10"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5</w:t>
            </w:r>
          </w:p>
        </w:tc>
        <w:tc>
          <w:tcPr>
            <w:tcW w:w="704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947B4E" w:rsidRPr="00947B4E" w:rsidRDefault="00947B4E" w:rsidP="00E379A9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pantográfica com abertura total para um lado nas dimensões, 2,15 x 1,90 m, com fechadura</w:t>
            </w:r>
            <w:r w:rsidR="00E461F8">
              <w:rPr>
                <w:sz w:val="22"/>
                <w:szCs w:val="22"/>
              </w:rPr>
              <w:t xml:space="preserve"> completa, instalada e </w:t>
            </w:r>
            <w:r w:rsidRPr="00947B4E">
              <w:rPr>
                <w:sz w:val="22"/>
                <w:szCs w:val="22"/>
              </w:rPr>
              <w:t>na cor branca.</w:t>
            </w:r>
          </w:p>
        </w:tc>
        <w:tc>
          <w:tcPr>
            <w:tcW w:w="1223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947B4E" w:rsidRPr="00947B4E" w:rsidRDefault="00947B4E" w:rsidP="00E379A9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R$ 3.750,00</w:t>
            </w:r>
          </w:p>
        </w:tc>
        <w:tc>
          <w:tcPr>
            <w:tcW w:w="1296" w:type="dxa"/>
          </w:tcPr>
          <w:p w:rsidR="00947B4E" w:rsidRPr="00947B4E" w:rsidRDefault="00947B4E" w:rsidP="00E379A9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R$ 3.750,00</w:t>
            </w:r>
          </w:p>
        </w:tc>
      </w:tr>
      <w:tr w:rsidR="00062E24" w:rsidRPr="00947B4E" w:rsidTr="00BA3F8D">
        <w:tc>
          <w:tcPr>
            <w:tcW w:w="9781" w:type="dxa"/>
            <w:gridSpan w:val="7"/>
          </w:tcPr>
          <w:p w:rsidR="00062E24" w:rsidRPr="00062E24" w:rsidRDefault="00062E24" w:rsidP="00062E2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062E24">
              <w:rPr>
                <w:b/>
                <w:sz w:val="22"/>
                <w:szCs w:val="22"/>
              </w:rPr>
              <w:t>TOTAL DOS LOTES R$ 21.873,25</w:t>
            </w:r>
          </w:p>
        </w:tc>
      </w:tr>
    </w:tbl>
    <w:p w:rsidR="00E461F8" w:rsidRDefault="00E461F8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>7. DESCRIÇÃO DA SOLUÇÃO COMO UM TODO</w:t>
      </w:r>
    </w:p>
    <w:p w:rsidR="003578B7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A solução proposta é</w:t>
      </w:r>
      <w:r w:rsidR="00E461F8">
        <w:rPr>
          <w:sz w:val="22"/>
          <w:szCs w:val="22"/>
        </w:rPr>
        <w:t xml:space="preserve"> a</w:t>
      </w:r>
      <w:r w:rsidRPr="00947B4E">
        <w:rPr>
          <w:sz w:val="22"/>
          <w:szCs w:val="22"/>
        </w:rPr>
        <w:t xml:space="preserve"> </w:t>
      </w:r>
      <w:r w:rsidRPr="00947B4E">
        <w:rPr>
          <w:b/>
          <w:sz w:val="22"/>
          <w:szCs w:val="22"/>
        </w:rPr>
        <w:t xml:space="preserve">Contratação de empresa para o fornecimento de estruturas de basquete, </w:t>
      </w:r>
      <w:r w:rsidR="00E461F8" w:rsidRPr="00947B4E">
        <w:rPr>
          <w:b/>
          <w:sz w:val="22"/>
          <w:szCs w:val="22"/>
        </w:rPr>
        <w:t>instalação</w:t>
      </w:r>
      <w:r w:rsidRPr="00947B4E">
        <w:rPr>
          <w:b/>
          <w:sz w:val="22"/>
          <w:szCs w:val="22"/>
        </w:rPr>
        <w:t xml:space="preserve"> de grades, corri</w:t>
      </w:r>
      <w:r w:rsidR="00E461F8">
        <w:rPr>
          <w:b/>
          <w:sz w:val="22"/>
          <w:szCs w:val="22"/>
        </w:rPr>
        <w:t>mão, tela e instalação de calha</w:t>
      </w:r>
      <w:r w:rsidRPr="00947B4E">
        <w:rPr>
          <w:sz w:val="22"/>
          <w:szCs w:val="22"/>
        </w:rPr>
        <w:t>, conforme as segu</w:t>
      </w:r>
      <w:r w:rsidR="00062E24">
        <w:rPr>
          <w:sz w:val="22"/>
          <w:szCs w:val="22"/>
        </w:rPr>
        <w:t>intes especificações/condições, o</w:t>
      </w:r>
      <w:r w:rsidRPr="00947B4E">
        <w:rPr>
          <w:sz w:val="22"/>
          <w:szCs w:val="22"/>
        </w:rPr>
        <w:t>s produtos/serviços deverão ser entregues</w:t>
      </w:r>
      <w:r w:rsidR="00E461F8">
        <w:rPr>
          <w:sz w:val="22"/>
          <w:szCs w:val="22"/>
        </w:rPr>
        <w:t>/executados:</w:t>
      </w:r>
    </w:p>
    <w:p w:rsidR="00E461F8" w:rsidRDefault="00062E24" w:rsidP="00D659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LOTE 01 GINASIO EMEF – </w:t>
      </w:r>
      <w:r w:rsidR="00A76571">
        <w:rPr>
          <w:sz w:val="22"/>
          <w:szCs w:val="22"/>
        </w:rPr>
        <w:t xml:space="preserve">Rua </w:t>
      </w:r>
      <w:r w:rsidR="00C55026">
        <w:rPr>
          <w:sz w:val="22"/>
          <w:szCs w:val="22"/>
        </w:rPr>
        <w:t xml:space="preserve">Bevilaqua </w:t>
      </w:r>
      <w:r w:rsidR="007D0A0B">
        <w:rPr>
          <w:sz w:val="22"/>
          <w:szCs w:val="22"/>
        </w:rPr>
        <w:t>n</w:t>
      </w:r>
      <w:r w:rsidR="00C55026">
        <w:rPr>
          <w:sz w:val="22"/>
          <w:szCs w:val="22"/>
        </w:rPr>
        <w:t>°20</w:t>
      </w:r>
      <w:r w:rsidR="007D0A0B">
        <w:rPr>
          <w:sz w:val="22"/>
          <w:szCs w:val="22"/>
        </w:rPr>
        <w:t>;</w:t>
      </w:r>
    </w:p>
    <w:p w:rsidR="00062E24" w:rsidRDefault="00062E24" w:rsidP="00D659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LOTE 02 GINASIO MUNICIPAL – </w:t>
      </w:r>
      <w:r w:rsidR="00A76571">
        <w:rPr>
          <w:sz w:val="22"/>
          <w:szCs w:val="22"/>
        </w:rPr>
        <w:t>Rua Angelo Brancher n°</w:t>
      </w:r>
      <w:r w:rsidR="007D0A0B">
        <w:rPr>
          <w:sz w:val="22"/>
          <w:szCs w:val="22"/>
        </w:rPr>
        <w:t>370;</w:t>
      </w:r>
    </w:p>
    <w:p w:rsidR="00062E24" w:rsidRDefault="00062E24" w:rsidP="00D659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LOTE 03 PREDIO EMEI – </w:t>
      </w:r>
      <w:r w:rsidR="00A76571">
        <w:rPr>
          <w:sz w:val="22"/>
          <w:szCs w:val="22"/>
        </w:rPr>
        <w:t>Rua Rui Barboza n°</w:t>
      </w:r>
      <w:r w:rsidR="00433BFC">
        <w:rPr>
          <w:sz w:val="22"/>
          <w:szCs w:val="22"/>
        </w:rPr>
        <w:t>127;</w:t>
      </w:r>
    </w:p>
    <w:p w:rsidR="00062E24" w:rsidRDefault="00062E24" w:rsidP="00D659A4">
      <w:pPr>
        <w:jc w:val="both"/>
        <w:rPr>
          <w:sz w:val="22"/>
          <w:szCs w:val="22"/>
        </w:rPr>
      </w:pPr>
      <w:r>
        <w:rPr>
          <w:sz w:val="22"/>
          <w:szCs w:val="22"/>
        </w:rPr>
        <w:t>LOTE 04 BIBLIOTECA MUNICIPAL –</w:t>
      </w:r>
      <w:r w:rsidR="00A76571">
        <w:rPr>
          <w:sz w:val="22"/>
          <w:szCs w:val="22"/>
        </w:rPr>
        <w:t xml:space="preserve"> Rua Luiz Zordan n°</w:t>
      </w:r>
    </w:p>
    <w:p w:rsidR="00062E24" w:rsidRPr="00947B4E" w:rsidRDefault="00062E24" w:rsidP="00D659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LOTE 05 PRÉDIO </w:t>
      </w:r>
      <w:r w:rsidR="00A76571">
        <w:rPr>
          <w:sz w:val="22"/>
          <w:szCs w:val="22"/>
        </w:rPr>
        <w:t>UBS – Rua Ângelo Alegretti n°144</w:t>
      </w:r>
      <w:r w:rsidR="00433BFC">
        <w:rPr>
          <w:sz w:val="22"/>
          <w:szCs w:val="22"/>
        </w:rPr>
        <w:t>;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sz w:val="22"/>
          <w:szCs w:val="22"/>
        </w:rPr>
      </w:pPr>
      <w:r w:rsidRPr="00947B4E">
        <w:rPr>
          <w:b/>
          <w:sz w:val="22"/>
          <w:szCs w:val="22"/>
        </w:rPr>
        <w:t xml:space="preserve">8. RESULTADOS PRETENDIDOS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Pretende-se, com o presente processo licitatório, assegurar </w:t>
      </w:r>
      <w:r w:rsidRPr="00947B4E"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062E24" w:rsidRPr="00947B4E">
        <w:rPr>
          <w:color w:val="000000"/>
          <w:sz w:val="22"/>
          <w:szCs w:val="22"/>
        </w:rPr>
        <w:t>sobre preço</w:t>
      </w:r>
      <w:r w:rsidRPr="00947B4E"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 w:rsidRPr="00947B4E">
        <w:rPr>
          <w:sz w:val="22"/>
          <w:szCs w:val="22"/>
        </w:rPr>
        <w:tab/>
        <w:t xml:space="preserve">A contratação decorrente do presente processo licitatório exigirá da contratada o </w:t>
      </w:r>
      <w:r w:rsidRPr="00947B4E">
        <w:rPr>
          <w:sz w:val="22"/>
          <w:szCs w:val="22"/>
        </w:rPr>
        <w:lastRenderedPageBreak/>
        <w:t xml:space="preserve">cumprimento das boas práticas de sustentabilidade, contribuindo para a racionalização e otimização do uso dos recursos, bem como para a redução dos impactos ambientais. 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color w:val="000000"/>
          <w:sz w:val="22"/>
          <w:szCs w:val="22"/>
        </w:rPr>
      </w:pPr>
      <w:r w:rsidRPr="00947B4E"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3578B7" w:rsidRPr="00947B4E" w:rsidRDefault="009E28F6" w:rsidP="00D659A4">
      <w:pPr>
        <w:jc w:val="both"/>
        <w:rPr>
          <w:color w:val="000000"/>
          <w:sz w:val="22"/>
          <w:szCs w:val="22"/>
        </w:rPr>
      </w:pPr>
      <w:r w:rsidRPr="00947B4E"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a)</w:t>
      </w:r>
      <w:r w:rsidRPr="00947B4E">
        <w:rPr>
          <w:sz w:val="22"/>
          <w:szCs w:val="22"/>
        </w:rPr>
        <w:t xml:space="preserve"> elaboração de minuta do edital;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 xml:space="preserve">b) </w:t>
      </w:r>
      <w:r w:rsidRPr="00947B4E">
        <w:rPr>
          <w:sz w:val="22"/>
          <w:szCs w:val="22"/>
        </w:rPr>
        <w:t xml:space="preserve">realização de certificação de disponibilidade orçamentária;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c)</w:t>
      </w:r>
      <w:r w:rsidRPr="00947B4E"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d)</w:t>
      </w:r>
      <w:r w:rsidRPr="00947B4E">
        <w:rPr>
          <w:sz w:val="22"/>
          <w:szCs w:val="22"/>
        </w:rPr>
        <w:t xml:space="preserve"> elaboração de minuta do contrato;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e)</w:t>
      </w:r>
      <w:r w:rsidRPr="00947B4E">
        <w:rPr>
          <w:sz w:val="22"/>
          <w:szCs w:val="22"/>
        </w:rPr>
        <w:t xml:space="preserve"> encaminhamento do processo para análise jurídica;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f)</w:t>
      </w:r>
      <w:r w:rsidRPr="00947B4E"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g)</w:t>
      </w:r>
      <w:r w:rsidRPr="00947B4E">
        <w:rPr>
          <w:sz w:val="22"/>
          <w:szCs w:val="22"/>
        </w:rPr>
        <w:t xml:space="preserve"> publicação e divulgação do edital e anexos;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h)</w:t>
      </w:r>
      <w:r w:rsidRPr="00947B4E">
        <w:rPr>
          <w:sz w:val="22"/>
          <w:szCs w:val="22"/>
        </w:rPr>
        <w:t xml:space="preserve"> resposta a eventuais pedidos de esclarecimentos e/ou impugnação, caso aplicável;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i)</w:t>
      </w:r>
      <w:r w:rsidRPr="00947B4E">
        <w:rPr>
          <w:sz w:val="22"/>
          <w:szCs w:val="22"/>
        </w:rPr>
        <w:t xml:space="preserve"> realização do certame, com suas respectivas etapas;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j)</w:t>
      </w:r>
      <w:r w:rsidRPr="00947B4E">
        <w:rPr>
          <w:sz w:val="22"/>
          <w:szCs w:val="22"/>
        </w:rPr>
        <w:t xml:space="preserve"> realização de empenho; e 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b/>
          <w:sz w:val="22"/>
          <w:szCs w:val="22"/>
        </w:rPr>
        <w:t>l)</w:t>
      </w:r>
      <w:r w:rsidRPr="00947B4E">
        <w:rPr>
          <w:sz w:val="22"/>
          <w:szCs w:val="22"/>
        </w:rPr>
        <w:t xml:space="preserve"> assinatura e publicação do contrato. 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color w:val="000000"/>
          <w:sz w:val="22"/>
          <w:szCs w:val="22"/>
        </w:rPr>
      </w:pPr>
      <w:r w:rsidRPr="00947B4E">
        <w:rPr>
          <w:b/>
          <w:color w:val="000000"/>
          <w:sz w:val="22"/>
          <w:szCs w:val="22"/>
        </w:rPr>
        <w:t>10. CONTRATAÇÕES CORRELATAS E/OU INTERDEPENDENTES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3578B7" w:rsidRPr="00947B4E" w:rsidRDefault="003578B7" w:rsidP="00D659A4">
      <w:pPr>
        <w:jc w:val="both"/>
        <w:rPr>
          <w:sz w:val="22"/>
          <w:szCs w:val="22"/>
        </w:rPr>
      </w:pPr>
    </w:p>
    <w:p w:rsidR="003578B7" w:rsidRPr="00947B4E" w:rsidRDefault="009E28F6" w:rsidP="00D659A4">
      <w:pPr>
        <w:jc w:val="both"/>
        <w:rPr>
          <w:b/>
          <w:color w:val="000000"/>
          <w:sz w:val="22"/>
          <w:szCs w:val="22"/>
        </w:rPr>
      </w:pPr>
      <w:r w:rsidRPr="00947B4E"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3578B7" w:rsidRPr="00947B4E" w:rsidRDefault="009E28F6" w:rsidP="00D659A4">
      <w:pPr>
        <w:jc w:val="both"/>
        <w:rPr>
          <w:sz w:val="22"/>
          <w:szCs w:val="22"/>
        </w:rPr>
      </w:pPr>
      <w:r w:rsidRPr="00947B4E"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3578B7" w:rsidRPr="00947B4E" w:rsidTr="00F049BE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3578B7" w:rsidRPr="00947B4E" w:rsidTr="00F049B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1373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339030140000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3578B7" w:rsidRPr="00947B4E" w:rsidTr="00F049B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1696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339039160000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3578B7" w:rsidRPr="00947B4E" w:rsidTr="00F049B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1759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339030240000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</w:tc>
      </w:tr>
      <w:tr w:rsidR="003578B7" w:rsidRPr="00947B4E" w:rsidTr="00F049B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2578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339039160000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B7" w:rsidRPr="00947B4E" w:rsidRDefault="009E28F6" w:rsidP="00F049B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3578B7" w:rsidRPr="00947B4E" w:rsidRDefault="003578B7" w:rsidP="00D659A4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578B7" w:rsidRPr="00947B4E" w:rsidRDefault="00F049BE" w:rsidP="00A23C10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="009E28F6" w:rsidRPr="00947B4E">
        <w:rPr>
          <w:rFonts w:ascii="Times New Roman" w:hAnsi="Times New Roman" w:cs="Times New Roman"/>
          <w:sz w:val="22"/>
          <w:szCs w:val="22"/>
        </w:rPr>
        <w:t>02</w:t>
      </w:r>
      <w:r>
        <w:rPr>
          <w:rFonts w:ascii="Times New Roman" w:hAnsi="Times New Roman" w:cs="Times New Roman"/>
          <w:sz w:val="22"/>
          <w:szCs w:val="22"/>
        </w:rPr>
        <w:t xml:space="preserve"> de setembro 2025</w:t>
      </w:r>
    </w:p>
    <w:p w:rsidR="003578B7" w:rsidRPr="00947B4E" w:rsidRDefault="003578B7" w:rsidP="00D659A4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3578B7" w:rsidRPr="00947B4E" w:rsidRDefault="003578B7" w:rsidP="00D659A4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3578B7" w:rsidRPr="00947B4E" w:rsidRDefault="009E28F6" w:rsidP="00A23C10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947B4E">
        <w:rPr>
          <w:rFonts w:ascii="Times New Roman" w:hAnsi="Times New Roman" w:cs="Times New Roman"/>
          <w:sz w:val="22"/>
          <w:szCs w:val="22"/>
        </w:rPr>
        <w:t>_____________________________</w:t>
      </w:r>
    </w:p>
    <w:bookmarkEnd w:id="1"/>
    <w:bookmarkEnd w:id="2"/>
    <w:p w:rsidR="003578B7" w:rsidRDefault="007D0A0B" w:rsidP="00A23C1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Adriana Tobaldini</w:t>
      </w:r>
    </w:p>
    <w:p w:rsidR="007D0A0B" w:rsidRDefault="007D0A0B" w:rsidP="00A23C1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</w:t>
      </w:r>
      <w:r w:rsidR="00A23C10">
        <w:rPr>
          <w:rFonts w:ascii="Times New Roman" w:eastAsia="Times New Roman" w:hAnsi="Times New Roman" w:cs="Times New Roman"/>
          <w:sz w:val="22"/>
          <w:szCs w:val="22"/>
        </w:rPr>
        <w:t xml:space="preserve">ria </w:t>
      </w:r>
      <w:r w:rsidR="009E28F6">
        <w:rPr>
          <w:rFonts w:ascii="Times New Roman" w:eastAsia="Times New Roman" w:hAnsi="Times New Roman" w:cs="Times New Roman"/>
          <w:sz w:val="22"/>
          <w:szCs w:val="22"/>
        </w:rPr>
        <w:t xml:space="preserve">Municipal </w:t>
      </w:r>
      <w:r w:rsidR="00A23C10">
        <w:rPr>
          <w:rFonts w:ascii="Times New Roman" w:eastAsia="Times New Roman" w:hAnsi="Times New Roman" w:cs="Times New Roman"/>
          <w:sz w:val="22"/>
          <w:szCs w:val="22"/>
        </w:rPr>
        <w:t>de Educação</w:t>
      </w:r>
    </w:p>
    <w:p w:rsidR="00A23C10" w:rsidRDefault="00A23C10" w:rsidP="00A23C10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</w:p>
    <w:p w:rsidR="00A23C10" w:rsidRDefault="00A23C10" w:rsidP="00D659A4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23C10" w:rsidRPr="00947B4E" w:rsidRDefault="00A23C10" w:rsidP="00A23C10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947B4E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A23C10" w:rsidRDefault="00A23C10" w:rsidP="00A23C1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Eduardo Nichetti</w:t>
      </w:r>
    </w:p>
    <w:p w:rsidR="00A23C10" w:rsidRDefault="00A23C10" w:rsidP="00A23C1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</w:t>
      </w:r>
      <w:r w:rsidR="009E28F6">
        <w:rPr>
          <w:rFonts w:ascii="Times New Roman" w:eastAsia="Times New Roman" w:hAnsi="Times New Roman" w:cs="Times New Roman"/>
          <w:sz w:val="22"/>
          <w:szCs w:val="22"/>
        </w:rPr>
        <w:t xml:space="preserve"> Municipal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 Saúde</w:t>
      </w:r>
    </w:p>
    <w:p w:rsidR="009E28F6" w:rsidRPr="00947B4E" w:rsidRDefault="009E28F6" w:rsidP="00D659A4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9E28F6" w:rsidRPr="00947B4E" w:rsidSect="00D659A4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48" w:rsidRDefault="009E28F6">
      <w:r>
        <w:separator/>
      </w:r>
    </w:p>
  </w:endnote>
  <w:endnote w:type="continuationSeparator" w:id="0">
    <w:p w:rsidR="00BB3F48" w:rsidRDefault="009E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B7" w:rsidRDefault="009E28F6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578B7" w:rsidRDefault="009E28F6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B83936">
                            <w:rPr>
                              <w:rStyle w:val="Nmerodepgina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3578B7" w:rsidRDefault="009E28F6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B83936">
                      <w:rPr>
                        <w:rStyle w:val="Nmerodepgina"/>
                        <w:noProof/>
                        <w:sz w:val="16"/>
                      </w:rPr>
                      <w:t>4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48" w:rsidRDefault="009E28F6">
      <w:r>
        <w:separator/>
      </w:r>
    </w:p>
  </w:footnote>
  <w:footnote w:type="continuationSeparator" w:id="0">
    <w:p w:rsidR="00BB3F48" w:rsidRDefault="009E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9A4" w:rsidRDefault="00D659A4" w:rsidP="00D659A4">
    <w:pPr>
      <w:tabs>
        <w:tab w:val="center" w:pos="4419"/>
        <w:tab w:val="right" w:pos="8838"/>
      </w:tabs>
      <w:overflowPunct/>
      <w:autoSpaceDE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4E5F6F16" wp14:editId="3E35839F">
          <wp:simplePos x="0" y="0"/>
          <wp:positionH relativeFrom="column">
            <wp:posOffset>3810</wp:posOffset>
          </wp:positionH>
          <wp:positionV relativeFrom="paragraph">
            <wp:posOffset>153670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9A4" w:rsidRDefault="00D659A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D659A4" w:rsidRDefault="00D659A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578B7" w:rsidRDefault="009E28F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578B7" w:rsidRPr="00D659A4" w:rsidRDefault="009E28F6" w:rsidP="00D659A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578B7" w:rsidRDefault="003578B7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E4B99"/>
    <w:multiLevelType w:val="multilevel"/>
    <w:tmpl w:val="F7C61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78B7"/>
    <w:rsid w:val="00062E24"/>
    <w:rsid w:val="003578B7"/>
    <w:rsid w:val="00433BFC"/>
    <w:rsid w:val="007D0A0B"/>
    <w:rsid w:val="00947B4E"/>
    <w:rsid w:val="009E28F6"/>
    <w:rsid w:val="00A23C10"/>
    <w:rsid w:val="00A76571"/>
    <w:rsid w:val="00B83936"/>
    <w:rsid w:val="00BB3F48"/>
    <w:rsid w:val="00C55026"/>
    <w:rsid w:val="00D659A4"/>
    <w:rsid w:val="00E461F8"/>
    <w:rsid w:val="00F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7D987-4B1F-46DE-A87C-3F8558EF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23</cp:revision>
  <cp:lastPrinted>2025-09-03T12:19:00Z</cp:lastPrinted>
  <dcterms:created xsi:type="dcterms:W3CDTF">2023-06-05T10:43:00Z</dcterms:created>
  <dcterms:modified xsi:type="dcterms:W3CDTF">2025-09-04T18:04:00Z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