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DB" w:rsidRDefault="006524DB">
      <w:pPr>
        <w:tabs>
          <w:tab w:val="left" w:pos="2736"/>
        </w:tabs>
        <w:ind w:right="720"/>
        <w:jc w:val="center"/>
        <w:rPr>
          <w:b/>
          <w:sz w:val="28"/>
          <w:u w:val="single"/>
          <w:lang w:eastAsia="pt-BR"/>
        </w:rPr>
      </w:pPr>
    </w:p>
    <w:p w:rsidR="006524DB" w:rsidRDefault="006524DB">
      <w:pPr>
        <w:tabs>
          <w:tab w:val="left" w:pos="2736"/>
        </w:tabs>
        <w:ind w:right="720"/>
        <w:jc w:val="center"/>
        <w:rPr>
          <w:b/>
          <w:sz w:val="28"/>
          <w:u w:val="single"/>
        </w:rPr>
      </w:pPr>
    </w:p>
    <w:p w:rsidR="00433913" w:rsidRDefault="00433913" w:rsidP="00433913">
      <w:pPr>
        <w:tabs>
          <w:tab w:val="center" w:pos="4419"/>
          <w:tab w:val="right" w:pos="8838"/>
        </w:tabs>
        <w:jc w:val="center"/>
        <w:rPr>
          <w:rFonts w:ascii="Century Gothic" w:hAnsi="Century Gothic" w:cs="Century Gothic"/>
          <w:b/>
          <w:sz w:val="28"/>
          <w:lang w:eastAsia="pt-BR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73157E0A" wp14:editId="1A91440A">
            <wp:simplePos x="0" y="0"/>
            <wp:positionH relativeFrom="column">
              <wp:posOffset>89535</wp:posOffset>
            </wp:positionH>
            <wp:positionV relativeFrom="paragraph">
              <wp:posOffset>-84455</wp:posOffset>
            </wp:positionV>
            <wp:extent cx="762000" cy="762000"/>
            <wp:effectExtent l="0" t="0" r="0" b="0"/>
            <wp:wrapNone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2" t="-10" r="-12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913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ADJUDICAÇÃO DE PROCESSO</w:t>
      </w:r>
    </w:p>
    <w:p w:rsidR="006524DB" w:rsidRDefault="006524DB">
      <w:pPr>
        <w:tabs>
          <w:tab w:val="left" w:pos="2736"/>
        </w:tabs>
        <w:ind w:right="720"/>
        <w:jc w:val="center"/>
        <w:rPr>
          <w:b/>
          <w:sz w:val="24"/>
          <w:u w:val="single"/>
        </w:rPr>
      </w:pPr>
    </w:p>
    <w:p w:rsidR="00382F24" w:rsidRPr="00382F24" w:rsidRDefault="00382F24" w:rsidP="00671673">
      <w:pPr>
        <w:tabs>
          <w:tab w:val="left" w:pos="2736"/>
        </w:tabs>
        <w:overflowPunct/>
        <w:autoSpaceDN w:val="0"/>
        <w:adjustRightInd w:val="0"/>
        <w:ind w:right="720"/>
        <w:jc w:val="both"/>
        <w:rPr>
          <w:rFonts w:hAnsi="Liberation Serif"/>
          <w:sz w:val="24"/>
        </w:rPr>
      </w:pPr>
    </w:p>
    <w:p w:rsidR="00610A4B" w:rsidRPr="00610A4B" w:rsidRDefault="00671673" w:rsidP="00671673">
      <w:pPr>
        <w:tabs>
          <w:tab w:val="left" w:pos="2736"/>
        </w:tabs>
        <w:overflowPunct/>
        <w:autoSpaceDN w:val="0"/>
        <w:adjustRightInd w:val="0"/>
        <w:ind w:left="142" w:firstLine="3260"/>
        <w:jc w:val="both"/>
        <w:rPr>
          <w:rFonts w:hAnsi="Liberation Serif"/>
          <w:sz w:val="22"/>
          <w:szCs w:val="22"/>
        </w:rPr>
      </w:pPr>
      <w:r w:rsidRPr="00671673">
        <w:rPr>
          <w:rFonts w:hAnsi="Liberation Serif"/>
          <w:sz w:val="22"/>
          <w:szCs w:val="22"/>
        </w:rPr>
        <w:t>A Agente de Contrata</w:t>
      </w:r>
      <w:r w:rsidRPr="00671673">
        <w:rPr>
          <w:rFonts w:hAnsi="Liberation Serif"/>
          <w:sz w:val="22"/>
          <w:szCs w:val="22"/>
        </w:rPr>
        <w:t>çã</w:t>
      </w:r>
      <w:r w:rsidRPr="00671673">
        <w:rPr>
          <w:rFonts w:hAnsi="Liberation Serif"/>
          <w:sz w:val="22"/>
          <w:szCs w:val="22"/>
        </w:rPr>
        <w:t>o</w:t>
      </w:r>
      <w:r w:rsidR="00610A4B" w:rsidRPr="00610A4B">
        <w:rPr>
          <w:rFonts w:hAnsi="Liberation Serif"/>
          <w:sz w:val="22"/>
          <w:szCs w:val="22"/>
        </w:rPr>
        <w:t xml:space="preserve"> e sua Equipe de Apoio, no  uso de suas atribui</w:t>
      </w:r>
      <w:r w:rsidR="00610A4B" w:rsidRPr="00610A4B">
        <w:rPr>
          <w:rFonts w:hAnsi="Liberation Serif"/>
          <w:sz w:val="22"/>
          <w:szCs w:val="22"/>
        </w:rPr>
        <w:t>çõ</w:t>
      </w:r>
      <w:r w:rsidR="00610A4B" w:rsidRPr="00610A4B">
        <w:rPr>
          <w:rFonts w:hAnsi="Liberation Serif"/>
          <w:sz w:val="22"/>
          <w:szCs w:val="22"/>
        </w:rPr>
        <w:t>es  legais, adjudicam o julgamento abaixo relacionado referente ao Processo Licitat</w:t>
      </w:r>
      <w:r w:rsidR="00610A4B" w:rsidRPr="00610A4B">
        <w:rPr>
          <w:rFonts w:hAnsi="Liberation Serif"/>
          <w:sz w:val="22"/>
          <w:szCs w:val="22"/>
        </w:rPr>
        <w:t>ó</w:t>
      </w:r>
      <w:r w:rsidR="00610A4B" w:rsidRPr="00610A4B">
        <w:rPr>
          <w:rFonts w:hAnsi="Liberation Serif"/>
          <w:sz w:val="22"/>
          <w:szCs w:val="22"/>
        </w:rPr>
        <w:t>rio n</w:t>
      </w:r>
      <w:r w:rsidR="00610A4B" w:rsidRPr="00610A4B">
        <w:rPr>
          <w:rFonts w:hAnsi="Liberation Serif"/>
          <w:sz w:val="22"/>
          <w:szCs w:val="22"/>
        </w:rPr>
        <w:t>º</w:t>
      </w:r>
      <w:r w:rsidR="00610A4B" w:rsidRPr="00610A4B">
        <w:rPr>
          <w:rFonts w:hAnsi="Liberation Serif"/>
          <w:sz w:val="22"/>
          <w:szCs w:val="22"/>
        </w:rPr>
        <w:t xml:space="preserve"> 328/2025, e encaminha o processo para an</w:t>
      </w:r>
      <w:r w:rsidR="00610A4B" w:rsidRPr="00610A4B">
        <w:rPr>
          <w:rFonts w:hAnsi="Liberation Serif"/>
          <w:sz w:val="22"/>
          <w:szCs w:val="22"/>
        </w:rPr>
        <w:t>á</w:t>
      </w:r>
      <w:r w:rsidR="00610A4B" w:rsidRPr="00610A4B">
        <w:rPr>
          <w:rFonts w:hAnsi="Liberation Serif"/>
          <w:sz w:val="22"/>
          <w:szCs w:val="22"/>
        </w:rPr>
        <w:t>lise e Homologa</w:t>
      </w:r>
      <w:r w:rsidR="00610A4B" w:rsidRPr="00610A4B">
        <w:rPr>
          <w:rFonts w:hAnsi="Liberation Serif"/>
          <w:sz w:val="22"/>
          <w:szCs w:val="22"/>
        </w:rPr>
        <w:t>çã</w:t>
      </w:r>
      <w:r w:rsidR="00610A4B" w:rsidRPr="00610A4B">
        <w:rPr>
          <w:rFonts w:hAnsi="Liberation Serif"/>
          <w:sz w:val="22"/>
          <w:szCs w:val="22"/>
        </w:rPr>
        <w:t>o pelo Ordenador de Despesas;</w:t>
      </w:r>
    </w:p>
    <w:p w:rsidR="00610A4B" w:rsidRPr="00610A4B" w:rsidRDefault="00671673" w:rsidP="00671673">
      <w:pPr>
        <w:tabs>
          <w:tab w:val="left" w:pos="6405"/>
        </w:tabs>
        <w:overflowPunct/>
        <w:autoSpaceDN w:val="0"/>
        <w:adjustRightInd w:val="0"/>
        <w:ind w:left="1152"/>
        <w:jc w:val="both"/>
        <w:rPr>
          <w:rFonts w:hAnsi="Liberation Serif"/>
          <w:sz w:val="22"/>
          <w:szCs w:val="22"/>
        </w:rPr>
      </w:pPr>
      <w:r w:rsidRPr="00671673">
        <w:rPr>
          <w:rFonts w:hAnsi="Liberation Serif"/>
          <w:sz w:val="22"/>
          <w:szCs w:val="22"/>
        </w:rPr>
        <w:tab/>
      </w:r>
    </w:p>
    <w:p w:rsidR="00610A4B" w:rsidRPr="00610A4B" w:rsidRDefault="00610A4B" w:rsidP="00610A4B">
      <w:pPr>
        <w:tabs>
          <w:tab w:val="left" w:pos="2736"/>
        </w:tabs>
        <w:overflowPunct/>
        <w:autoSpaceDN w:val="0"/>
        <w:adjustRightInd w:val="0"/>
        <w:ind w:left="144" w:firstLine="3258"/>
        <w:jc w:val="both"/>
        <w:rPr>
          <w:rFonts w:hAnsi="Liberation Serif"/>
          <w:sz w:val="22"/>
          <w:szCs w:val="22"/>
        </w:rPr>
      </w:pPr>
      <w:r w:rsidRPr="00610A4B">
        <w:rPr>
          <w:rFonts w:hAnsi="Liberation Serif"/>
          <w:sz w:val="22"/>
          <w:szCs w:val="22"/>
        </w:rPr>
        <w:t>Fica adjudic</w:t>
      </w:r>
      <w:r w:rsidR="00671673" w:rsidRPr="00671673">
        <w:rPr>
          <w:rFonts w:hAnsi="Liberation Serif"/>
          <w:sz w:val="22"/>
          <w:szCs w:val="22"/>
        </w:rPr>
        <w:t>ado o julgamento proferido pela Agente de Contrata</w:t>
      </w:r>
      <w:r w:rsidR="00671673" w:rsidRPr="00671673">
        <w:rPr>
          <w:rFonts w:hAnsi="Liberation Serif"/>
          <w:sz w:val="22"/>
          <w:szCs w:val="22"/>
        </w:rPr>
        <w:t>çã</w:t>
      </w:r>
      <w:r w:rsidR="00671673" w:rsidRPr="00671673">
        <w:rPr>
          <w:rFonts w:hAnsi="Liberation Serif"/>
          <w:sz w:val="22"/>
          <w:szCs w:val="22"/>
        </w:rPr>
        <w:t>o</w:t>
      </w:r>
      <w:r w:rsidRPr="00610A4B">
        <w:rPr>
          <w:rFonts w:hAnsi="Liberation Serif"/>
          <w:sz w:val="22"/>
          <w:szCs w:val="22"/>
        </w:rPr>
        <w:t xml:space="preserve"> e sua Equipe de Apoio, nomeados pela Portaria n</w:t>
      </w:r>
      <w:r w:rsidRPr="00610A4B">
        <w:rPr>
          <w:rFonts w:hAnsi="Liberation Serif"/>
          <w:sz w:val="22"/>
          <w:szCs w:val="22"/>
        </w:rPr>
        <w:t>º</w:t>
      </w:r>
      <w:r w:rsidRPr="00610A4B">
        <w:rPr>
          <w:rFonts w:hAnsi="Liberation Serif"/>
          <w:sz w:val="22"/>
          <w:szCs w:val="22"/>
        </w:rPr>
        <w:t>099 de 05/03/25, sobre o Preg</w:t>
      </w:r>
      <w:r w:rsidRPr="00610A4B">
        <w:rPr>
          <w:rFonts w:hAnsi="Liberation Serif"/>
          <w:sz w:val="22"/>
          <w:szCs w:val="22"/>
        </w:rPr>
        <w:t>ã</w:t>
      </w:r>
      <w:r w:rsidRPr="00610A4B">
        <w:rPr>
          <w:rFonts w:hAnsi="Liberation Serif"/>
          <w:sz w:val="22"/>
          <w:szCs w:val="22"/>
        </w:rPr>
        <w:t>o Presencial n</w:t>
      </w:r>
      <w:r w:rsidRPr="00610A4B">
        <w:rPr>
          <w:rFonts w:hAnsi="Liberation Serif"/>
          <w:sz w:val="22"/>
          <w:szCs w:val="22"/>
        </w:rPr>
        <w:t>º</w:t>
      </w:r>
      <w:r w:rsidRPr="00610A4B">
        <w:rPr>
          <w:rFonts w:hAnsi="Liberation Serif"/>
          <w:sz w:val="22"/>
          <w:szCs w:val="22"/>
        </w:rPr>
        <w:t xml:space="preserve"> 7/2025, que tem por objeto a Revitaliza</w:t>
      </w:r>
      <w:r w:rsidRPr="00610A4B">
        <w:rPr>
          <w:rFonts w:hAnsi="Liberation Serif"/>
          <w:sz w:val="22"/>
          <w:szCs w:val="22"/>
        </w:rPr>
        <w:t>çã</w:t>
      </w:r>
      <w:r w:rsidRPr="00610A4B">
        <w:rPr>
          <w:rFonts w:hAnsi="Liberation Serif"/>
          <w:sz w:val="22"/>
          <w:szCs w:val="22"/>
        </w:rPr>
        <w:t>o e embelezamento da PRA</w:t>
      </w:r>
      <w:r w:rsidRPr="00610A4B">
        <w:rPr>
          <w:rFonts w:hAnsi="Liberation Serif"/>
          <w:sz w:val="22"/>
          <w:szCs w:val="22"/>
        </w:rPr>
        <w:t>Ç</w:t>
      </w:r>
      <w:r w:rsidRPr="00610A4B">
        <w:rPr>
          <w:rFonts w:hAnsi="Liberation Serif"/>
          <w:sz w:val="22"/>
          <w:szCs w:val="22"/>
        </w:rPr>
        <w:t>A PREFEITO IZIDORO JOS</w:t>
      </w:r>
      <w:r w:rsidRPr="00610A4B">
        <w:rPr>
          <w:rFonts w:hAnsi="Liberation Serif"/>
          <w:sz w:val="22"/>
          <w:szCs w:val="22"/>
        </w:rPr>
        <w:t>É</w:t>
      </w:r>
      <w:r w:rsidRPr="00610A4B">
        <w:rPr>
          <w:rFonts w:hAnsi="Liberation Serif"/>
          <w:sz w:val="22"/>
          <w:szCs w:val="22"/>
        </w:rPr>
        <w:t xml:space="preserve"> BRANCHER no Munic</w:t>
      </w:r>
      <w:r w:rsidRPr="00610A4B">
        <w:rPr>
          <w:rFonts w:hAnsi="Liberation Serif"/>
          <w:sz w:val="22"/>
          <w:szCs w:val="22"/>
        </w:rPr>
        <w:t>í</w:t>
      </w:r>
      <w:r w:rsidRPr="00610A4B">
        <w:rPr>
          <w:rFonts w:hAnsi="Liberation Serif"/>
          <w:sz w:val="22"/>
          <w:szCs w:val="22"/>
        </w:rPr>
        <w:t>pio de Viadutos, conforme contrato de repasse n</w:t>
      </w:r>
      <w:r w:rsidRPr="00610A4B">
        <w:rPr>
          <w:rFonts w:hAnsi="Liberation Serif"/>
          <w:sz w:val="22"/>
          <w:szCs w:val="22"/>
        </w:rPr>
        <w:t>°</w:t>
      </w:r>
      <w:r w:rsidRPr="00610A4B">
        <w:rPr>
          <w:rFonts w:hAnsi="Liberation Serif"/>
          <w:sz w:val="22"/>
          <w:szCs w:val="22"/>
        </w:rPr>
        <w:t>1097803-51/2024 e convenio 968292/2024/MCIDADES/CAIXA, em favor da(s) empresa(s) abaixo relacionadas:</w:t>
      </w:r>
    </w:p>
    <w:p w:rsidR="00610A4B" w:rsidRPr="00610A4B" w:rsidRDefault="00610A4B" w:rsidP="00610A4B">
      <w:pPr>
        <w:tabs>
          <w:tab w:val="left" w:pos="2736"/>
        </w:tabs>
        <w:overflowPunct/>
        <w:autoSpaceDN w:val="0"/>
        <w:adjustRightInd w:val="0"/>
        <w:ind w:left="144" w:right="720" w:hanging="2"/>
        <w:jc w:val="both"/>
        <w:rPr>
          <w:rFonts w:hAnsi="Liberation Serif"/>
          <w:sz w:val="24"/>
          <w:szCs w:val="24"/>
        </w:rPr>
      </w:pPr>
    </w:p>
    <w:p w:rsidR="00610A4B" w:rsidRPr="00610A4B" w:rsidRDefault="00610A4B" w:rsidP="00610A4B">
      <w:pPr>
        <w:tabs>
          <w:tab w:val="left" w:pos="2736"/>
        </w:tabs>
        <w:overflowPunct/>
        <w:autoSpaceDN w:val="0"/>
        <w:adjustRightInd w:val="0"/>
        <w:ind w:left="144" w:right="720" w:hanging="2"/>
        <w:jc w:val="both"/>
        <w:rPr>
          <w:rFonts w:hAnsi="Liberation Serif"/>
          <w:sz w:val="24"/>
          <w:szCs w:val="24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Fornecedor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Lote n</w:t>
            </w:r>
            <w:r w:rsidRPr="00610A4B">
              <w:rPr>
                <w:rFonts w:hAnsi="Liberation Serif"/>
                <w:sz w:val="16"/>
                <w:szCs w:val="16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Item n</w:t>
            </w:r>
            <w:r w:rsidRPr="00610A4B">
              <w:rPr>
                <w:rFonts w:hAnsi="Liberation Serif"/>
                <w:sz w:val="16"/>
                <w:szCs w:val="16"/>
              </w:rPr>
              <w:t>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Valor total item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1.680,00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103.672,80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652,20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47.264,93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2.175,30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44,40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7.141,30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178,60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21.908,86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652,20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1.291,36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85,00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67.455,15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5.270,40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6,50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6.457,23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7.237,80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16.307,20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2.959,50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2.529,00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1.087,50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737,10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888,30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834,00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215,12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427,80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215,12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215,08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26.919,30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7.211,84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28.748,76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9.750,80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293,00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4.825,71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2.980,26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233,58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3,20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3.044,54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7.720,32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260,00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2.272,40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182,05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115,00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1.651,40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680,58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4.281,30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1.717,10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140,00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1.692,60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716,40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3.458,20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2,50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2.146,60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5.006,12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1.397,26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2,70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2.385,59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713,64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135,00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13.163,85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2.537,50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16.832,50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135,00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10.953,90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76,00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5.299,48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5.638,82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102,00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1.871,70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659,48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135,00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650,70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135,00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2.268,00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66,00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65,80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180,00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1.065,60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1.621,20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320,74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433,16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338,40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201,30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5.691,30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3.925,50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70,44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686,20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691,20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254,56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1.513,00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66,28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129,85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3.490,34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4.666,02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663,60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1.515,32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2.351,60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6.557,92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CONSTRUTORA JBO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8,40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7.711,54</w:t>
            </w:r>
          </w:p>
        </w:tc>
      </w:tr>
      <w:tr w:rsidR="00610A4B" w:rsidRPr="00610A4B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PREQUIP COMERCIAL DE EQUIPAMENTOS LTDA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 xml:space="preserve"> 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504,00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610A4B" w:rsidRPr="00610A4B" w:rsidRDefault="00610A4B" w:rsidP="00610A4B">
            <w:pPr>
              <w:tabs>
                <w:tab w:val="left" w:pos="2736"/>
              </w:tabs>
              <w:overflowPunct/>
              <w:autoSpaceDN w:val="0"/>
              <w:adjustRightInd w:val="0"/>
              <w:jc w:val="both"/>
              <w:rPr>
                <w:rFonts w:hAnsi="Liberation Serif"/>
                <w:sz w:val="16"/>
                <w:szCs w:val="16"/>
              </w:rPr>
            </w:pPr>
            <w:r w:rsidRPr="00610A4B">
              <w:rPr>
                <w:rFonts w:hAnsi="Liberation Serif"/>
                <w:sz w:val="16"/>
                <w:szCs w:val="16"/>
              </w:rPr>
              <w:t>203.399,99</w:t>
            </w:r>
          </w:p>
        </w:tc>
      </w:tr>
    </w:tbl>
    <w:p w:rsidR="00E0711C" w:rsidRPr="00610A4B" w:rsidRDefault="00E0711C" w:rsidP="00E0711C">
      <w:pPr>
        <w:tabs>
          <w:tab w:val="left" w:pos="2736"/>
        </w:tabs>
        <w:overflowPunct/>
        <w:autoSpaceDN w:val="0"/>
        <w:adjustRightInd w:val="0"/>
        <w:ind w:right="-174"/>
        <w:jc w:val="both"/>
        <w:rPr>
          <w:sz w:val="16"/>
          <w:szCs w:val="16"/>
        </w:rPr>
      </w:pPr>
    </w:p>
    <w:p w:rsidR="00E0711C" w:rsidRPr="00E0711C" w:rsidRDefault="00E0711C" w:rsidP="00E0711C">
      <w:pPr>
        <w:tabs>
          <w:tab w:val="left" w:pos="2736"/>
        </w:tabs>
        <w:overflowPunct/>
        <w:autoSpaceDN w:val="0"/>
        <w:adjustRightInd w:val="0"/>
        <w:ind w:right="-174"/>
        <w:jc w:val="both"/>
        <w:rPr>
          <w:sz w:val="24"/>
          <w:szCs w:val="24"/>
        </w:rPr>
      </w:pPr>
    </w:p>
    <w:p w:rsidR="00E0711C" w:rsidRDefault="00671673" w:rsidP="00671673">
      <w:pPr>
        <w:tabs>
          <w:tab w:val="left" w:pos="2736"/>
        </w:tabs>
        <w:overflowPunct/>
        <w:autoSpaceDN w:val="0"/>
        <w:adjustRightInd w:val="0"/>
        <w:ind w:left="142" w:right="-174"/>
        <w:jc w:val="both"/>
        <w:rPr>
          <w:sz w:val="24"/>
        </w:rPr>
      </w:pPr>
      <w:r>
        <w:rPr>
          <w:sz w:val="24"/>
        </w:rPr>
        <w:tab/>
        <w:t xml:space="preserve">A Agente de Contratação </w:t>
      </w:r>
      <w:r>
        <w:rPr>
          <w:sz w:val="24"/>
        </w:rPr>
        <w:t>e sua Equipe de Apoio, no  uso  de suas atribuições  legais,   encaminha o processo para análise e Homologação pelo Ordenador de Despesas.</w:t>
      </w:r>
    </w:p>
    <w:p w:rsidR="00671673" w:rsidRPr="00E0711C" w:rsidRDefault="00671673" w:rsidP="00E0711C">
      <w:pPr>
        <w:tabs>
          <w:tab w:val="left" w:pos="2736"/>
        </w:tabs>
        <w:overflowPunct/>
        <w:autoSpaceDN w:val="0"/>
        <w:adjustRightInd w:val="0"/>
        <w:ind w:right="-174"/>
        <w:jc w:val="both"/>
        <w:rPr>
          <w:sz w:val="24"/>
          <w:szCs w:val="24"/>
        </w:rPr>
      </w:pPr>
    </w:p>
    <w:p w:rsidR="00E0711C" w:rsidRPr="00E0711C" w:rsidRDefault="00E0711C" w:rsidP="00E0711C">
      <w:pPr>
        <w:tabs>
          <w:tab w:val="left" w:pos="2736"/>
        </w:tabs>
        <w:overflowPunct/>
        <w:autoSpaceDN w:val="0"/>
        <w:adjustRightInd w:val="0"/>
        <w:ind w:right="-174"/>
        <w:jc w:val="both"/>
        <w:rPr>
          <w:sz w:val="24"/>
          <w:szCs w:val="24"/>
        </w:rPr>
      </w:pPr>
    </w:p>
    <w:p w:rsidR="00671673" w:rsidRDefault="00671673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</w:p>
    <w:p w:rsidR="00382F24" w:rsidRPr="00E0711C" w:rsidRDefault="00382F24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  <w:r w:rsidRPr="00E0711C">
        <w:rPr>
          <w:sz w:val="24"/>
          <w:szCs w:val="24"/>
        </w:rPr>
        <w:t>Camile Denise Dallagnol</w:t>
      </w:r>
    </w:p>
    <w:p w:rsidR="00382F24" w:rsidRPr="00E0711C" w:rsidRDefault="00E0711C" w:rsidP="00E0711C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  <w:r w:rsidRPr="00E0711C">
        <w:rPr>
          <w:sz w:val="24"/>
          <w:szCs w:val="24"/>
        </w:rPr>
        <w:t>Agente de Contratação</w:t>
      </w:r>
    </w:p>
    <w:p w:rsidR="00B843CC" w:rsidRPr="00E0711C" w:rsidRDefault="00B843CC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</w:p>
    <w:p w:rsidR="00382F24" w:rsidRDefault="00382F24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</w:p>
    <w:p w:rsidR="00671673" w:rsidRDefault="00671673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</w:p>
    <w:p w:rsidR="00671673" w:rsidRPr="00E0711C" w:rsidRDefault="00671673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  <w:bookmarkStart w:id="0" w:name="_GoBack"/>
      <w:bookmarkEnd w:id="0"/>
    </w:p>
    <w:p w:rsidR="00382F24" w:rsidRPr="00E0711C" w:rsidRDefault="00382F24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</w:p>
    <w:p w:rsidR="00382F24" w:rsidRPr="00E0711C" w:rsidRDefault="00382F24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sz w:val="24"/>
          <w:szCs w:val="24"/>
        </w:rPr>
      </w:pPr>
    </w:p>
    <w:p w:rsidR="00382F24" w:rsidRPr="00E0711C" w:rsidRDefault="006374B9" w:rsidP="00B843CC">
      <w:pPr>
        <w:tabs>
          <w:tab w:val="left" w:pos="1872"/>
        </w:tabs>
        <w:overflowPunct/>
        <w:autoSpaceDN w:val="0"/>
        <w:adjustRightInd w:val="0"/>
        <w:ind w:right="288"/>
        <w:rPr>
          <w:sz w:val="24"/>
          <w:szCs w:val="24"/>
        </w:rPr>
      </w:pPr>
      <w:r w:rsidRPr="00E0711C">
        <w:rPr>
          <w:sz w:val="24"/>
          <w:szCs w:val="24"/>
        </w:rPr>
        <w:t xml:space="preserve"> </w:t>
      </w:r>
      <w:r w:rsidR="00382F24" w:rsidRPr="00E0711C">
        <w:rPr>
          <w:sz w:val="24"/>
          <w:szCs w:val="24"/>
        </w:rPr>
        <w:t xml:space="preserve">Fernanda Taise Dolinski  </w:t>
      </w:r>
      <w:r w:rsidRPr="00E0711C">
        <w:rPr>
          <w:sz w:val="24"/>
          <w:szCs w:val="24"/>
        </w:rPr>
        <w:t xml:space="preserve">   </w:t>
      </w:r>
      <w:r w:rsidR="00E0711C" w:rsidRPr="00E0711C">
        <w:rPr>
          <w:sz w:val="24"/>
          <w:szCs w:val="24"/>
        </w:rPr>
        <w:t xml:space="preserve"> </w:t>
      </w:r>
      <w:r w:rsidR="00E0711C">
        <w:rPr>
          <w:sz w:val="24"/>
          <w:szCs w:val="24"/>
        </w:rPr>
        <w:t xml:space="preserve"> </w:t>
      </w:r>
      <w:r w:rsidR="00671673">
        <w:rPr>
          <w:sz w:val="24"/>
          <w:szCs w:val="24"/>
        </w:rPr>
        <w:t xml:space="preserve">    </w:t>
      </w:r>
      <w:r w:rsidR="00E0711C">
        <w:rPr>
          <w:sz w:val="24"/>
          <w:szCs w:val="24"/>
        </w:rPr>
        <w:t xml:space="preserve">  </w:t>
      </w:r>
      <w:r w:rsidR="00E0711C" w:rsidRPr="00E0711C">
        <w:rPr>
          <w:sz w:val="24"/>
          <w:szCs w:val="24"/>
        </w:rPr>
        <w:t xml:space="preserve">  </w:t>
      </w:r>
      <w:r w:rsidR="00B843CC" w:rsidRPr="00E0711C">
        <w:rPr>
          <w:sz w:val="24"/>
          <w:szCs w:val="24"/>
        </w:rPr>
        <w:t xml:space="preserve"> Denize Maria Zonin</w:t>
      </w:r>
      <w:r w:rsidR="00382F24" w:rsidRPr="00E0711C">
        <w:rPr>
          <w:sz w:val="24"/>
          <w:szCs w:val="24"/>
        </w:rPr>
        <w:t xml:space="preserve">   </w:t>
      </w:r>
      <w:r w:rsidR="00E0711C" w:rsidRPr="00E0711C">
        <w:rPr>
          <w:sz w:val="24"/>
          <w:szCs w:val="24"/>
        </w:rPr>
        <w:t xml:space="preserve">  </w:t>
      </w:r>
      <w:r w:rsidR="00B843CC" w:rsidRPr="00E0711C">
        <w:rPr>
          <w:sz w:val="24"/>
          <w:szCs w:val="24"/>
        </w:rPr>
        <w:t xml:space="preserve">  </w:t>
      </w:r>
      <w:r w:rsidR="00E0711C">
        <w:rPr>
          <w:sz w:val="24"/>
          <w:szCs w:val="24"/>
        </w:rPr>
        <w:t xml:space="preserve"> </w:t>
      </w:r>
      <w:r w:rsidR="00B843CC" w:rsidRPr="00E0711C">
        <w:rPr>
          <w:sz w:val="24"/>
          <w:szCs w:val="24"/>
        </w:rPr>
        <w:t xml:space="preserve"> </w:t>
      </w:r>
      <w:r w:rsidR="00671673">
        <w:rPr>
          <w:sz w:val="24"/>
          <w:szCs w:val="24"/>
        </w:rPr>
        <w:t xml:space="preserve">           </w:t>
      </w:r>
      <w:r w:rsidR="00B843CC" w:rsidRPr="00E0711C">
        <w:rPr>
          <w:sz w:val="24"/>
          <w:szCs w:val="24"/>
        </w:rPr>
        <w:t xml:space="preserve"> </w:t>
      </w:r>
      <w:r w:rsidR="00671673">
        <w:rPr>
          <w:sz w:val="24"/>
          <w:szCs w:val="24"/>
        </w:rPr>
        <w:t>Monica Bohm</w:t>
      </w:r>
    </w:p>
    <w:p w:rsidR="00382F24" w:rsidRPr="00E0711C" w:rsidRDefault="006374B9" w:rsidP="00382F24">
      <w:pPr>
        <w:tabs>
          <w:tab w:val="left" w:pos="1872"/>
        </w:tabs>
        <w:overflowPunct/>
        <w:autoSpaceDN w:val="0"/>
        <w:adjustRightInd w:val="0"/>
        <w:ind w:right="288"/>
        <w:rPr>
          <w:sz w:val="24"/>
          <w:szCs w:val="24"/>
        </w:rPr>
      </w:pPr>
      <w:r w:rsidRPr="00E0711C">
        <w:rPr>
          <w:sz w:val="24"/>
          <w:szCs w:val="24"/>
        </w:rPr>
        <w:t xml:space="preserve">       </w:t>
      </w:r>
      <w:r w:rsidR="00382F24" w:rsidRPr="00E0711C">
        <w:rPr>
          <w:sz w:val="24"/>
          <w:szCs w:val="24"/>
        </w:rPr>
        <w:t xml:space="preserve">Equipe de Apoio            </w:t>
      </w:r>
      <w:r w:rsidR="00B843CC" w:rsidRPr="00E0711C">
        <w:rPr>
          <w:sz w:val="24"/>
          <w:szCs w:val="24"/>
        </w:rPr>
        <w:t xml:space="preserve">      </w:t>
      </w:r>
      <w:r w:rsidR="00E0711C">
        <w:rPr>
          <w:sz w:val="24"/>
          <w:szCs w:val="24"/>
        </w:rPr>
        <w:t xml:space="preserve"> </w:t>
      </w:r>
      <w:r w:rsidR="00B843CC" w:rsidRPr="00E0711C">
        <w:rPr>
          <w:sz w:val="24"/>
          <w:szCs w:val="24"/>
        </w:rPr>
        <w:t xml:space="preserve">   </w:t>
      </w:r>
      <w:r w:rsidR="00671673">
        <w:rPr>
          <w:sz w:val="24"/>
          <w:szCs w:val="24"/>
        </w:rPr>
        <w:t xml:space="preserve">   </w:t>
      </w:r>
      <w:r w:rsidR="00382F24" w:rsidRPr="00E0711C">
        <w:rPr>
          <w:sz w:val="24"/>
          <w:szCs w:val="24"/>
        </w:rPr>
        <w:t>Equipe de Apoio</w:t>
      </w:r>
      <w:r w:rsidRPr="00E0711C">
        <w:rPr>
          <w:sz w:val="24"/>
          <w:szCs w:val="24"/>
        </w:rPr>
        <w:t xml:space="preserve">     </w:t>
      </w:r>
      <w:r w:rsidR="00382F24" w:rsidRPr="00E0711C">
        <w:rPr>
          <w:sz w:val="24"/>
          <w:szCs w:val="24"/>
        </w:rPr>
        <w:t xml:space="preserve"> </w:t>
      </w:r>
      <w:r w:rsidR="00B843CC" w:rsidRPr="00E0711C">
        <w:rPr>
          <w:sz w:val="24"/>
          <w:szCs w:val="24"/>
        </w:rPr>
        <w:t xml:space="preserve">                </w:t>
      </w:r>
      <w:r w:rsidRPr="00E0711C">
        <w:rPr>
          <w:sz w:val="24"/>
          <w:szCs w:val="24"/>
        </w:rPr>
        <w:t xml:space="preserve"> </w:t>
      </w:r>
      <w:r w:rsidR="00382F24" w:rsidRPr="00E0711C">
        <w:rPr>
          <w:sz w:val="24"/>
          <w:szCs w:val="24"/>
        </w:rPr>
        <w:t>Equipe de Apoio</w:t>
      </w:r>
    </w:p>
    <w:p w:rsidR="00382F24" w:rsidRPr="00E0711C" w:rsidRDefault="00382F24" w:rsidP="00382F24">
      <w:pPr>
        <w:tabs>
          <w:tab w:val="left" w:pos="1872"/>
        </w:tabs>
        <w:overflowPunct/>
        <w:autoSpaceDN w:val="0"/>
        <w:adjustRightInd w:val="0"/>
        <w:ind w:right="288"/>
        <w:rPr>
          <w:sz w:val="24"/>
          <w:szCs w:val="24"/>
        </w:rPr>
      </w:pPr>
    </w:p>
    <w:p w:rsidR="00382F24" w:rsidRPr="002975DA" w:rsidRDefault="00382F24" w:rsidP="00382F24">
      <w:pPr>
        <w:rPr>
          <w:rFonts w:ascii="Arial" w:hAnsi="Arial" w:cs="Arial"/>
          <w:sz w:val="24"/>
          <w:szCs w:val="24"/>
        </w:rPr>
      </w:pPr>
    </w:p>
    <w:p w:rsidR="00382F24" w:rsidRPr="002975DA" w:rsidRDefault="00382F24" w:rsidP="00382F24">
      <w:pPr>
        <w:tabs>
          <w:tab w:val="left" w:pos="1872"/>
        </w:tabs>
        <w:overflowPunct/>
        <w:autoSpaceDN w:val="0"/>
        <w:adjustRightInd w:val="0"/>
        <w:ind w:right="288"/>
        <w:jc w:val="center"/>
        <w:rPr>
          <w:rFonts w:hAnsi="Liberation Serif"/>
          <w:sz w:val="24"/>
          <w:szCs w:val="24"/>
        </w:rPr>
      </w:pPr>
    </w:p>
    <w:p w:rsidR="006524DB" w:rsidRPr="002975DA" w:rsidRDefault="006524DB">
      <w:pPr>
        <w:rPr>
          <w:sz w:val="24"/>
          <w:szCs w:val="24"/>
        </w:rPr>
      </w:pPr>
    </w:p>
    <w:sectPr w:rsidR="006524DB" w:rsidRPr="002975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21" w:bottom="1190" w:left="1320" w:header="720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62" w:rsidRDefault="006374B9">
      <w:r>
        <w:separator/>
      </w:r>
    </w:p>
  </w:endnote>
  <w:endnote w:type="continuationSeparator" w:id="0">
    <w:p w:rsidR="00660A62" w:rsidRDefault="0063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DB" w:rsidRDefault="006374B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 w:cs="Courier"/>
        <w:sz w:val="2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9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524DB" w:rsidRDefault="006374B9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590A59">
                            <w:rPr>
                              <w:rStyle w:val="Nmerodepgina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46.15pt;margin-top:.05pt;width:5.05pt;height:11.55pt;z-index: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" stroked="f">
              <v:fill opacity="0"/>
              <v:textbox inset="0,0,0,0">
                <w:txbxContent>
                  <w:p w:rsidR="006524DB" w:rsidRDefault="006374B9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590A59">
                      <w:rPr>
                        <w:rStyle w:val="Nmerodepgina"/>
                        <w:noProof/>
                      </w:rPr>
                      <w:t>2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DB" w:rsidRDefault="006374B9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>
      <w:rPr>
        <w:rFonts w:ascii="Arial Narrow" w:eastAsia="Arial Unicode MS" w:hAnsi="Arial Narrow" w:cs="Arial Unicode MS"/>
        <w:sz w:val="22"/>
        <w:szCs w:val="22"/>
      </w:rPr>
      <w:t>Rua Anastácio Ribeiro, nº 84 – Fone/Fax: 0**54 3395 1170/1236/1186/1361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62" w:rsidRDefault="006374B9">
      <w:r>
        <w:separator/>
      </w:r>
    </w:p>
  </w:footnote>
  <w:footnote w:type="continuationSeparator" w:id="0">
    <w:p w:rsidR="00660A62" w:rsidRDefault="0063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DB" w:rsidRDefault="006524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DB" w:rsidRDefault="006374B9">
    <w:pPr>
      <w:pStyle w:val="Cabealho"/>
      <w:jc w:val="center"/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>ESTADO DO RIO GRANDE DO SUL</w:t>
    </w:r>
  </w:p>
  <w:p w:rsidR="006524DB" w:rsidRDefault="006374B9">
    <w:pPr>
      <w:pStyle w:val="Cabealho"/>
      <w:jc w:val="center"/>
      <w:rPr>
        <w:rFonts w:ascii="Arial Narrow" w:hAnsi="Arial Narrow" w:cs="Arial Narrow"/>
        <w:b/>
        <w:bCs/>
        <w:sz w:val="28"/>
      </w:rPr>
    </w:pPr>
    <w:r>
      <w:rPr>
        <w:rFonts w:ascii="Arial Narrow" w:hAnsi="Arial Narrow" w:cs="Arial Narrow"/>
        <w:b/>
        <w:bCs/>
        <w:sz w:val="28"/>
      </w:rPr>
      <w:t>PREFEITURA MUNICIPAL DE VIADUTOS</w:t>
    </w:r>
  </w:p>
  <w:p w:rsidR="006524DB" w:rsidRDefault="006524DB">
    <w:pPr>
      <w:pStyle w:val="Cabealho"/>
      <w:rPr>
        <w:rFonts w:ascii="Arial Narrow" w:hAnsi="Arial Narrow" w:cs="Arial Narrow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524DB"/>
    <w:rsid w:val="002975DA"/>
    <w:rsid w:val="00382F24"/>
    <w:rsid w:val="00433913"/>
    <w:rsid w:val="004F4C92"/>
    <w:rsid w:val="00590A59"/>
    <w:rsid w:val="00600B09"/>
    <w:rsid w:val="00610A4B"/>
    <w:rsid w:val="0062020C"/>
    <w:rsid w:val="006374B9"/>
    <w:rsid w:val="006524DB"/>
    <w:rsid w:val="00660A62"/>
    <w:rsid w:val="00671673"/>
    <w:rsid w:val="00B843CC"/>
    <w:rsid w:val="00E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6273C-2E7E-41BC-A80B-D2E39D1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customStyle="1" w:styleId="Tabela">
    <w:name w:val="Tabela"/>
    <w:basedOn w:val="Legend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374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4B9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ADJUDICAÇÃO DE</vt:lpstr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ADJUDICAÇÃO DE</dc:title>
  <dc:subject/>
  <dc:creator>a</dc:creator>
  <cp:keywords/>
  <dc:description/>
  <cp:lastModifiedBy>User</cp:lastModifiedBy>
  <cp:revision>13</cp:revision>
  <cp:lastPrinted>2024-09-10T13:13:00Z</cp:lastPrinted>
  <dcterms:created xsi:type="dcterms:W3CDTF">2023-06-05T10:34:00Z</dcterms:created>
  <dcterms:modified xsi:type="dcterms:W3CDTF">2025-09-03T14:20:00Z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