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524/2024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da escavadeira hidráulica de modelo 915 E,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da escavadeira hidráulica de modelo 915 E,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aço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524/2024.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aço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para a manutenção da escavadeira hidráulica de modelo 915 E,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da escavadeira hidráulica de modelo 915 E,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aço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22/10/24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LibreOffice/6.4.4.2$Windows_X86_64 LibreOffice_project/3d775be2011f3886db32dfd395a6a6d1ca2630ff</Application>
  <Pages>3</Pages>
  <Words>671</Words>
  <Characters>3791</Characters>
  <CharactersWithSpaces>4400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2024-10-22T15:29:33Z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