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DB" w:rsidRDefault="008F2DFE" w:rsidP="00C70D32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6465DB" w:rsidRDefault="006465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330/2025</w:t>
      </w: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Aquisição de gêneros alimentícios para a Secretaria Municipal de Viação, Obras Públicas e Serviços Urbanos.</w:t>
      </w:r>
    </w:p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Aquisição de gêneros alimentícios para a Secretaria Municipal de Viação, Obr</w:t>
      </w:r>
      <w:r w:rsidR="00C70D32">
        <w:rPr>
          <w:rFonts w:ascii="Times New Roman" w:hAnsi="Times New Roman"/>
          <w:sz w:val="22"/>
          <w:szCs w:val="22"/>
        </w:rPr>
        <w:t>as Públicas e Serviços Urbanos.</w:t>
      </w: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330/2025.</w:t>
      </w:r>
    </w:p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p w:rsidR="00AF3698" w:rsidRDefault="00AF369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1417"/>
      </w:tblGrid>
      <w:tr w:rsidR="006465DB" w:rsidTr="00C70D32">
        <w:tc>
          <w:tcPr>
            <w:tcW w:w="6804" w:type="dxa"/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60" w:type="dxa"/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17" w:type="dxa"/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6465DB" w:rsidTr="00C70D32">
        <w:tc>
          <w:tcPr>
            <w:tcW w:w="6804" w:type="dxa"/>
          </w:tcPr>
          <w:p w:rsidR="00C70D32" w:rsidRPr="00F922CC" w:rsidRDefault="00C70D32" w:rsidP="00C70D3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22CC">
              <w:rPr>
                <w:rFonts w:ascii="Times New Roman" w:hAnsi="Times New Roman" w:cs="Times New Roman"/>
                <w:sz w:val="22"/>
                <w:szCs w:val="22"/>
              </w:rPr>
              <w:t>Marmitas prontas para o consumo, em embalagem de no mínimo 750g, com gêneros alimentícios diversos de acordo com a descrição:</w:t>
            </w:r>
          </w:p>
          <w:p w:rsidR="00C70D32" w:rsidRPr="00F922CC" w:rsidRDefault="00C70D32" w:rsidP="00C70D32">
            <w:pPr>
              <w:pStyle w:val="PargrafodaLista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>Básico:</w:t>
            </w:r>
            <w:r w:rsidRPr="00F922CC">
              <w:rPr>
                <w:rFonts w:eastAsia="Arial"/>
                <w:sz w:val="22"/>
                <w:szCs w:val="22"/>
              </w:rPr>
              <w:t xml:space="preserve"> arroz (100g), feijão/lentilha(150g), macarrão/polenta (150g):</w:t>
            </w:r>
          </w:p>
          <w:p w:rsidR="00C70D32" w:rsidRPr="00F922CC" w:rsidRDefault="00C70D32" w:rsidP="00C70D32">
            <w:pPr>
              <w:pStyle w:val="PargrafodaLista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F922CC">
              <w:rPr>
                <w:rFonts w:eastAsia="Arial"/>
                <w:sz w:val="22"/>
                <w:szCs w:val="22"/>
              </w:rPr>
              <w:t xml:space="preserve"> </w:t>
            </w:r>
            <w:r w:rsidRPr="00F922CC">
              <w:rPr>
                <w:rFonts w:eastAsia="Arial"/>
                <w:b/>
                <w:sz w:val="22"/>
                <w:szCs w:val="22"/>
              </w:rPr>
              <w:t>Carnes</w:t>
            </w:r>
            <w:r w:rsidRPr="00F922CC">
              <w:rPr>
                <w:rFonts w:eastAsia="Arial"/>
                <w:sz w:val="22"/>
                <w:szCs w:val="22"/>
              </w:rPr>
              <w:t xml:space="preserve"> (300g)</w:t>
            </w:r>
          </w:p>
          <w:p w:rsidR="00C70D32" w:rsidRPr="00F922CC" w:rsidRDefault="00C70D32" w:rsidP="00C70D32">
            <w:pPr>
              <w:pStyle w:val="PargrafodaLista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>Guarnição complementar</w:t>
            </w:r>
            <w:r w:rsidRPr="00F922CC">
              <w:rPr>
                <w:rFonts w:eastAsia="Arial"/>
                <w:sz w:val="22"/>
                <w:szCs w:val="22"/>
              </w:rPr>
              <w:t>,</w:t>
            </w:r>
          </w:p>
          <w:p w:rsidR="00C70D32" w:rsidRPr="00F922CC" w:rsidRDefault="00C70D32" w:rsidP="00C70D32">
            <w:pPr>
              <w:pStyle w:val="PargrafodaLista"/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>Salada e vegetais (100-200g)</w:t>
            </w:r>
          </w:p>
          <w:p w:rsidR="006465DB" w:rsidRDefault="00C70D32" w:rsidP="00C70D32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22CC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1 fruta de sobremesa </w:t>
            </w: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(</w:t>
            </w:r>
            <w:r w:rsidRPr="00F922CC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100-200g)</w:t>
            </w:r>
            <w:r w:rsidRPr="00F922CC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Obs: A salada e vegetais deverão vir em marmita separada, com no mínimo 1 salada e 2 vegetais por marmita. Produtos para solicitação de retirada conforme a necessidade da secretaria. Não repetir a mesma marmita na semana.</w:t>
            </w:r>
          </w:p>
        </w:tc>
        <w:tc>
          <w:tcPr>
            <w:tcW w:w="1560" w:type="dxa"/>
          </w:tcPr>
          <w:p w:rsidR="006465DB" w:rsidRDefault="008F2DF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2.000,0</w:t>
            </w:r>
          </w:p>
        </w:tc>
        <w:tc>
          <w:tcPr>
            <w:tcW w:w="1417" w:type="dxa"/>
          </w:tcPr>
          <w:p w:rsidR="006465DB" w:rsidRDefault="008F2DF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C70D32" w:rsidTr="007A0BE0">
        <w:tc>
          <w:tcPr>
            <w:tcW w:w="9781" w:type="dxa"/>
            <w:gridSpan w:val="3"/>
          </w:tcPr>
          <w:p w:rsidR="00C70D32" w:rsidRPr="00F922CC" w:rsidRDefault="00C70D32" w:rsidP="00C70D32">
            <w:pPr>
              <w:rPr>
                <w:rFonts w:eastAsia="Arial"/>
                <w:b/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 xml:space="preserve">BASICO </w:t>
            </w:r>
          </w:p>
          <w:p w:rsidR="00C70D32" w:rsidRPr="00F922CC" w:rsidRDefault="00C70D32" w:rsidP="00C70D32">
            <w:pPr>
              <w:rPr>
                <w:rFonts w:eastAsia="Arial"/>
                <w:sz w:val="22"/>
                <w:szCs w:val="22"/>
              </w:rPr>
            </w:pPr>
            <w:r w:rsidRPr="00F922CC">
              <w:rPr>
                <w:rFonts w:eastAsia="Arial"/>
                <w:sz w:val="22"/>
                <w:szCs w:val="22"/>
              </w:rPr>
              <w:t>Arroz parabolizado tipo 1</w:t>
            </w:r>
          </w:p>
          <w:p w:rsidR="00C70D32" w:rsidRPr="00F922CC" w:rsidRDefault="00C70D32" w:rsidP="00C70D32">
            <w:pPr>
              <w:rPr>
                <w:rFonts w:eastAsia="Arial"/>
                <w:sz w:val="22"/>
                <w:szCs w:val="22"/>
              </w:rPr>
            </w:pPr>
            <w:r w:rsidRPr="00F922CC">
              <w:rPr>
                <w:rFonts w:eastAsia="Arial"/>
                <w:sz w:val="22"/>
                <w:szCs w:val="22"/>
              </w:rPr>
              <w:t>Feijão carioca/Feijão preto/vermelho ou lentilha.</w:t>
            </w:r>
          </w:p>
          <w:p w:rsidR="00C70D32" w:rsidRPr="00F922CC" w:rsidRDefault="00C70D32" w:rsidP="00C70D32">
            <w:pPr>
              <w:rPr>
                <w:rFonts w:eastAsia="Arial"/>
                <w:sz w:val="22"/>
                <w:szCs w:val="22"/>
              </w:rPr>
            </w:pPr>
            <w:r w:rsidRPr="00F922CC">
              <w:rPr>
                <w:rFonts w:eastAsia="Arial"/>
                <w:sz w:val="22"/>
                <w:szCs w:val="22"/>
              </w:rPr>
              <w:t>Macarrão com molho vermelho/macarrão alho e óleo/macarrão com molho branco/macarrão à bolonhesa ou polenta cozida / polenta frita / polenta recheada / polenta brustolada ou nhoque com molho.</w:t>
            </w:r>
          </w:p>
          <w:p w:rsidR="00C70D32" w:rsidRPr="00F922CC" w:rsidRDefault="00C70D32" w:rsidP="00C70D32">
            <w:pPr>
              <w:rPr>
                <w:rFonts w:eastAsia="Arial"/>
                <w:b/>
                <w:sz w:val="22"/>
                <w:szCs w:val="22"/>
              </w:rPr>
            </w:pPr>
          </w:p>
          <w:p w:rsidR="00C70D32" w:rsidRPr="00F922CC" w:rsidRDefault="00C70D32" w:rsidP="00C70D32">
            <w:pPr>
              <w:rPr>
                <w:rFonts w:eastAsia="Arial"/>
                <w:b/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>CARNES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Carne Bovina</w:t>
            </w:r>
            <w:r w:rsidRPr="00F922CC">
              <w:rPr>
                <w:sz w:val="22"/>
                <w:szCs w:val="22"/>
              </w:rPr>
              <w:t xml:space="preserve"> (musculo/ patinho/coxão mole/ carne moída de 1°/contra file/costela/ lagarto).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Carne de frango</w:t>
            </w:r>
            <w:r w:rsidRPr="00F922CC">
              <w:rPr>
                <w:sz w:val="22"/>
                <w:szCs w:val="22"/>
              </w:rPr>
              <w:t xml:space="preserve"> (coxa e sobre coxa/ peito de frango/ file de carne moída).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Carne suína</w:t>
            </w:r>
            <w:r w:rsidRPr="00F922CC">
              <w:rPr>
                <w:sz w:val="22"/>
                <w:szCs w:val="22"/>
              </w:rPr>
              <w:t xml:space="preserve"> (bisteca/ costelinha/ pernil).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Carne de peixe</w:t>
            </w:r>
            <w:r w:rsidRPr="00F922CC">
              <w:rPr>
                <w:sz w:val="22"/>
                <w:szCs w:val="22"/>
              </w:rPr>
              <w:t xml:space="preserve"> (file de tilapia / liguado/robalo/castanha)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Embutidos</w:t>
            </w:r>
            <w:r w:rsidRPr="00F922CC">
              <w:rPr>
                <w:sz w:val="22"/>
                <w:szCs w:val="22"/>
              </w:rPr>
              <w:t xml:space="preserve"> (linguiça) máximo 2x no mês junto com outra carne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Ovo, cozido</w:t>
            </w:r>
            <w:r w:rsidRPr="00F922CC">
              <w:rPr>
                <w:sz w:val="22"/>
                <w:szCs w:val="22"/>
              </w:rPr>
              <w:t>/frito/omelete – 1 x na semana junto com uma carne</w:t>
            </w:r>
          </w:p>
          <w:p w:rsidR="00C70D32" w:rsidRPr="00F922CC" w:rsidRDefault="00C70D32" w:rsidP="00C70D32">
            <w:pPr>
              <w:rPr>
                <w:b/>
                <w:sz w:val="22"/>
                <w:szCs w:val="22"/>
              </w:rPr>
            </w:pP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GUARNIÇÃO COMPLEMENTAR</w:t>
            </w:r>
            <w:r w:rsidRPr="00F922CC">
              <w:rPr>
                <w:sz w:val="22"/>
                <w:szCs w:val="22"/>
              </w:rPr>
              <w:t xml:space="preserve"> (pelo menos 1 por marmita)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sz w:val="22"/>
                <w:szCs w:val="22"/>
              </w:rPr>
              <w:t>Bolinho de arroz/ bolinho de chuva/ mandioca cozida ou frita/ purê de batatas ou de mandioca/ batata inglesa em molho ou assada/ batata doce assada ou cozida/ moranga refogada ou caramelizada.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</w:p>
          <w:p w:rsidR="00C70D32" w:rsidRPr="00F922CC" w:rsidRDefault="00C70D32" w:rsidP="00C70D32">
            <w:pPr>
              <w:rPr>
                <w:b/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VEGETAIS – CRU OU COZIDOS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sz w:val="22"/>
                <w:szCs w:val="22"/>
              </w:rPr>
              <w:t>Chuchu/ cenoura/repolho / abobrinha/ vagem/ beterraba/ brócolis/ couve-flor/ couve manteiga/ rabanete/ tomate/ cebola/ pepino/berinjela, etc.</w:t>
            </w:r>
          </w:p>
          <w:p w:rsidR="00C70D32" w:rsidRPr="00F922CC" w:rsidRDefault="00C70D32" w:rsidP="00C70D32">
            <w:pPr>
              <w:rPr>
                <w:b/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SALADAS – FOLHAS</w:t>
            </w:r>
          </w:p>
          <w:p w:rsidR="00C70D32" w:rsidRPr="00F922CC" w:rsidRDefault="00C70D32" w:rsidP="00C70D32">
            <w:pPr>
              <w:rPr>
                <w:b/>
                <w:sz w:val="22"/>
                <w:szCs w:val="22"/>
              </w:rPr>
            </w:pP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sz w:val="22"/>
                <w:szCs w:val="22"/>
              </w:rPr>
              <w:t>Alface / rúcula/ radite / agrião/ almeirão/ acelga/ chicória/espinafre/ etc.</w:t>
            </w:r>
          </w:p>
          <w:p w:rsidR="00C70D32" w:rsidRDefault="00C70D32" w:rsidP="00C70D32">
            <w:pPr>
              <w:rPr>
                <w:b/>
                <w:sz w:val="22"/>
                <w:szCs w:val="22"/>
              </w:rPr>
            </w:pPr>
          </w:p>
          <w:p w:rsidR="00C70D32" w:rsidRPr="00F922CC" w:rsidRDefault="00C70D32" w:rsidP="00C70D32">
            <w:pPr>
              <w:rPr>
                <w:b/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lastRenderedPageBreak/>
              <w:t>SOBREMESA</w:t>
            </w:r>
          </w:p>
          <w:p w:rsidR="00C70D32" w:rsidRPr="00F922CC" w:rsidRDefault="00C70D32" w:rsidP="00C70D32">
            <w:pPr>
              <w:rPr>
                <w:sz w:val="22"/>
                <w:szCs w:val="22"/>
              </w:rPr>
            </w:pPr>
            <w:r w:rsidRPr="00F922CC">
              <w:rPr>
                <w:sz w:val="22"/>
                <w:szCs w:val="22"/>
              </w:rPr>
              <w:t>1 fruta variada.</w:t>
            </w:r>
          </w:p>
          <w:p w:rsidR="00C70D32" w:rsidRDefault="00C70D3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Pr="000C01F7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0C01F7">
        <w:rPr>
          <w:rFonts w:ascii="Times New Roman" w:hAnsi="Times New Roman"/>
          <w:sz w:val="22"/>
          <w:szCs w:val="22"/>
        </w:rPr>
        <w:t>A contratação pretendida está prevista no Plano de Contratações Anual do Município de Vi</w:t>
      </w:r>
      <w:r w:rsidR="00C70D32" w:rsidRPr="000C01F7">
        <w:rPr>
          <w:rFonts w:ascii="Times New Roman" w:hAnsi="Times New Roman"/>
          <w:sz w:val="22"/>
          <w:szCs w:val="22"/>
        </w:rPr>
        <w:t>adutos, como se vê do item N° 04</w:t>
      </w:r>
      <w:r w:rsidRPr="000C01F7">
        <w:rPr>
          <w:rFonts w:ascii="Times New Roman" w:hAnsi="Times New Roman"/>
          <w:sz w:val="22"/>
          <w:szCs w:val="22"/>
        </w:rPr>
        <w:t xml:space="preserve"> daquele documento, estando assim alinhada com o planejamento desta Administração.</w:t>
      </w:r>
    </w:p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6465DB" w:rsidRDefault="008F2DFE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Aquisição de gêneros alimentícios para a Secretaria Municipal de Viação, Obr</w:t>
      </w:r>
      <w:r w:rsidR="00C70D32">
        <w:rPr>
          <w:rFonts w:ascii="Times New Roman" w:hAnsi="Times New Roman"/>
          <w:sz w:val="22"/>
          <w:szCs w:val="22"/>
        </w:rPr>
        <w:t>as Públicas e Serviços Urbanos.</w:t>
      </w:r>
    </w:p>
    <w:p w:rsidR="006465DB" w:rsidRDefault="008F2DFE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6465DB" w:rsidRDefault="008F2DFE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6465DB" w:rsidRDefault="008F2DFE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6465DB" w:rsidRDefault="008F2DFE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Aquisição de gêneros alimentícios para a Secretaria Municipal de Viação, Obr</w:t>
      </w:r>
      <w:r w:rsidR="00C70D32">
        <w:rPr>
          <w:rFonts w:ascii="Times New Roman" w:hAnsi="Times New Roman"/>
          <w:sz w:val="22"/>
          <w:szCs w:val="22"/>
        </w:rPr>
        <w:t>as Públicas e Serviços Urbanos.</w:t>
      </w:r>
    </w:p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produtos</w:t>
      </w:r>
      <w:r w:rsidR="00C70D32">
        <w:rPr>
          <w:rFonts w:ascii="Times New Roman" w:hAnsi="Times New Roman"/>
          <w:sz w:val="22"/>
          <w:szCs w:val="22"/>
        </w:rPr>
        <w:t xml:space="preserve"> serão retirados conforme necessidade da Secretaria.</w:t>
      </w:r>
    </w:p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6465DB" w:rsidRDefault="008F2DFE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6465DB" w:rsidRDefault="008F2DFE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entrega da mercadoria, mediante apresentação da Nota Fiscal da Empresa e após a devida conferência e consequente liquidação/ateste de que os produtos/serviços foram entregues/prestados de forma adequada.</w:t>
      </w:r>
    </w:p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C70D32" w:rsidRDefault="00C70D32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p w:rsidR="00AF3698" w:rsidRDefault="00AF369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1418"/>
        <w:gridCol w:w="992"/>
        <w:gridCol w:w="1255"/>
        <w:gridCol w:w="1438"/>
      </w:tblGrid>
      <w:tr w:rsidR="006465DB" w:rsidTr="00AF3698">
        <w:tc>
          <w:tcPr>
            <w:tcW w:w="4678" w:type="dxa"/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8" w:type="dxa"/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2" w:type="dxa"/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255" w:type="dxa"/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38" w:type="dxa"/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6465DB" w:rsidTr="00AF3698">
        <w:tc>
          <w:tcPr>
            <w:tcW w:w="4678" w:type="dxa"/>
          </w:tcPr>
          <w:p w:rsidR="00AF3698" w:rsidRPr="00F922CC" w:rsidRDefault="00AF3698" w:rsidP="00AF3698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22CC">
              <w:rPr>
                <w:rFonts w:ascii="Times New Roman" w:hAnsi="Times New Roman" w:cs="Times New Roman"/>
                <w:sz w:val="22"/>
                <w:szCs w:val="22"/>
              </w:rPr>
              <w:t>Marmitas prontas para o consumo, em embalagem de no mínimo 750g, com gêneros alimentícios diversos de acordo com a descrição:</w:t>
            </w:r>
          </w:p>
          <w:p w:rsidR="00AF3698" w:rsidRPr="00F922CC" w:rsidRDefault="00AF3698" w:rsidP="00AF3698">
            <w:pPr>
              <w:pStyle w:val="PargrafodaLista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>Básico:</w:t>
            </w:r>
            <w:r w:rsidRPr="00F922CC">
              <w:rPr>
                <w:rFonts w:eastAsia="Arial"/>
                <w:sz w:val="22"/>
                <w:szCs w:val="22"/>
              </w:rPr>
              <w:t xml:space="preserve"> arroz (100g), feijão/lentilha(150g), macarrão/polenta (150g):</w:t>
            </w:r>
          </w:p>
          <w:p w:rsidR="00AF3698" w:rsidRPr="00F922CC" w:rsidRDefault="00AF3698" w:rsidP="00AF3698">
            <w:pPr>
              <w:pStyle w:val="PargrafodaLista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F922CC">
              <w:rPr>
                <w:rFonts w:eastAsia="Arial"/>
                <w:sz w:val="22"/>
                <w:szCs w:val="22"/>
              </w:rPr>
              <w:t xml:space="preserve"> </w:t>
            </w:r>
            <w:r w:rsidRPr="00F922CC">
              <w:rPr>
                <w:rFonts w:eastAsia="Arial"/>
                <w:b/>
                <w:sz w:val="22"/>
                <w:szCs w:val="22"/>
              </w:rPr>
              <w:t>Carnes</w:t>
            </w:r>
            <w:r w:rsidRPr="00F922CC">
              <w:rPr>
                <w:rFonts w:eastAsia="Arial"/>
                <w:sz w:val="22"/>
                <w:szCs w:val="22"/>
              </w:rPr>
              <w:t xml:space="preserve"> (300g)</w:t>
            </w:r>
          </w:p>
          <w:p w:rsidR="00AF3698" w:rsidRPr="00F922CC" w:rsidRDefault="00AF3698" w:rsidP="00AF3698">
            <w:pPr>
              <w:pStyle w:val="PargrafodaLista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>Guarnição complementar</w:t>
            </w:r>
            <w:r w:rsidRPr="00F922CC">
              <w:rPr>
                <w:rFonts w:eastAsia="Arial"/>
                <w:sz w:val="22"/>
                <w:szCs w:val="22"/>
              </w:rPr>
              <w:t>,</w:t>
            </w:r>
          </w:p>
          <w:p w:rsidR="00AF3698" w:rsidRPr="00F922CC" w:rsidRDefault="00AF3698" w:rsidP="00AF3698">
            <w:pPr>
              <w:pStyle w:val="PargrafodaLista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>Salada e vegetais (100-200g)</w:t>
            </w:r>
          </w:p>
          <w:p w:rsidR="006465DB" w:rsidRDefault="00AF3698" w:rsidP="00AF36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F922CC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1 fruta de sobremesa </w:t>
            </w: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(</w:t>
            </w:r>
            <w:r w:rsidRPr="00F922CC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100-200g)</w:t>
            </w:r>
            <w:r w:rsidRPr="00F922CC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Obs: A salada e vegetais deverão vir em marmita separada, com no mínimo 1 salada e 2 vegetais por marmita. Produtos para solicitação de retirada conforme a necessidade da secretaria. Não repetir a mesma marmita na semana.</w:t>
            </w:r>
          </w:p>
        </w:tc>
        <w:tc>
          <w:tcPr>
            <w:tcW w:w="1418" w:type="dxa"/>
          </w:tcPr>
          <w:p w:rsidR="006465DB" w:rsidRDefault="008F2DF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2.000,0</w:t>
            </w:r>
          </w:p>
        </w:tc>
        <w:tc>
          <w:tcPr>
            <w:tcW w:w="992" w:type="dxa"/>
          </w:tcPr>
          <w:p w:rsidR="006465DB" w:rsidRDefault="008F2DF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255" w:type="dxa"/>
          </w:tcPr>
          <w:p w:rsidR="006465DB" w:rsidRDefault="008F2DF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R$ 24,75</w:t>
            </w:r>
          </w:p>
        </w:tc>
        <w:tc>
          <w:tcPr>
            <w:tcW w:w="1438" w:type="dxa"/>
          </w:tcPr>
          <w:p w:rsidR="006465DB" w:rsidRDefault="008F2DF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R$ 49.500,00</w:t>
            </w:r>
          </w:p>
        </w:tc>
      </w:tr>
      <w:tr w:rsidR="00AF3698" w:rsidTr="000C5255">
        <w:tc>
          <w:tcPr>
            <w:tcW w:w="9781" w:type="dxa"/>
            <w:gridSpan w:val="5"/>
          </w:tcPr>
          <w:p w:rsidR="00AF3698" w:rsidRPr="00F922CC" w:rsidRDefault="00AF3698" w:rsidP="00AF3698">
            <w:pPr>
              <w:rPr>
                <w:rFonts w:eastAsia="Arial"/>
                <w:b/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 xml:space="preserve">BASICO </w:t>
            </w:r>
          </w:p>
          <w:p w:rsidR="00AF3698" w:rsidRPr="00F922CC" w:rsidRDefault="00AF3698" w:rsidP="00AF3698">
            <w:pPr>
              <w:rPr>
                <w:rFonts w:eastAsia="Arial"/>
                <w:sz w:val="22"/>
                <w:szCs w:val="22"/>
              </w:rPr>
            </w:pPr>
            <w:r w:rsidRPr="00F922CC">
              <w:rPr>
                <w:rFonts w:eastAsia="Arial"/>
                <w:sz w:val="22"/>
                <w:szCs w:val="22"/>
              </w:rPr>
              <w:t>Arroz parabolizado tipo 1</w:t>
            </w:r>
          </w:p>
          <w:p w:rsidR="00AF3698" w:rsidRPr="00F922CC" w:rsidRDefault="00AF3698" w:rsidP="00AF3698">
            <w:pPr>
              <w:rPr>
                <w:rFonts w:eastAsia="Arial"/>
                <w:sz w:val="22"/>
                <w:szCs w:val="22"/>
              </w:rPr>
            </w:pPr>
            <w:r w:rsidRPr="00F922CC">
              <w:rPr>
                <w:rFonts w:eastAsia="Arial"/>
                <w:sz w:val="22"/>
                <w:szCs w:val="22"/>
              </w:rPr>
              <w:t>Feijão carioca/Feijão preto/vermelho ou lentilha.</w:t>
            </w:r>
          </w:p>
          <w:p w:rsidR="00AF3698" w:rsidRPr="00F922CC" w:rsidRDefault="00AF3698" w:rsidP="00AF3698">
            <w:pPr>
              <w:rPr>
                <w:rFonts w:eastAsia="Arial"/>
                <w:sz w:val="22"/>
                <w:szCs w:val="22"/>
              </w:rPr>
            </w:pPr>
            <w:r w:rsidRPr="00F922CC">
              <w:rPr>
                <w:rFonts w:eastAsia="Arial"/>
                <w:sz w:val="22"/>
                <w:szCs w:val="22"/>
              </w:rPr>
              <w:t>Macarrão com molho vermelho/macarrão alho e óleo/macarrão com molho branco/macarrão à bolonhesa ou polenta cozida / polenta frita / polenta recheada / polenta brustolada ou nhoque com molho.</w:t>
            </w:r>
          </w:p>
          <w:p w:rsidR="00AF3698" w:rsidRPr="00F922CC" w:rsidRDefault="00AF3698" w:rsidP="00AF3698">
            <w:pPr>
              <w:rPr>
                <w:rFonts w:eastAsia="Arial"/>
                <w:b/>
                <w:sz w:val="22"/>
                <w:szCs w:val="22"/>
              </w:rPr>
            </w:pPr>
          </w:p>
          <w:p w:rsidR="00AF3698" w:rsidRPr="00F922CC" w:rsidRDefault="00AF3698" w:rsidP="00AF3698">
            <w:pPr>
              <w:rPr>
                <w:rFonts w:eastAsia="Arial"/>
                <w:b/>
                <w:sz w:val="22"/>
                <w:szCs w:val="22"/>
              </w:rPr>
            </w:pPr>
            <w:r w:rsidRPr="00F922CC">
              <w:rPr>
                <w:rFonts w:eastAsia="Arial"/>
                <w:b/>
                <w:sz w:val="22"/>
                <w:szCs w:val="22"/>
              </w:rPr>
              <w:t>CARNES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Carne Bovina</w:t>
            </w:r>
            <w:r w:rsidRPr="00F922CC">
              <w:rPr>
                <w:sz w:val="22"/>
                <w:szCs w:val="22"/>
              </w:rPr>
              <w:t xml:space="preserve"> (musculo/ patinho/coxão mole/ carne moída de 1°/contra file/costela/ lagarto).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Carne de frango</w:t>
            </w:r>
            <w:r w:rsidRPr="00F922CC">
              <w:rPr>
                <w:sz w:val="22"/>
                <w:szCs w:val="22"/>
              </w:rPr>
              <w:t xml:space="preserve"> (coxa e sobre coxa/ peito de frango/ file de carne moída).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Carne suína</w:t>
            </w:r>
            <w:r w:rsidRPr="00F922CC">
              <w:rPr>
                <w:sz w:val="22"/>
                <w:szCs w:val="22"/>
              </w:rPr>
              <w:t xml:space="preserve"> (bisteca/ costelinha/ pernil).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Carne de peixe</w:t>
            </w:r>
            <w:r w:rsidRPr="00F922CC">
              <w:rPr>
                <w:sz w:val="22"/>
                <w:szCs w:val="22"/>
              </w:rPr>
              <w:t xml:space="preserve"> (file de tilapia / liguado/robalo/castanha)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Embutidos</w:t>
            </w:r>
            <w:r w:rsidRPr="00F922CC">
              <w:rPr>
                <w:sz w:val="22"/>
                <w:szCs w:val="22"/>
              </w:rPr>
              <w:t xml:space="preserve"> (linguiça) máximo 2x no mês junto com outra carne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Ovo, cozido</w:t>
            </w:r>
            <w:r w:rsidRPr="00F922CC">
              <w:rPr>
                <w:sz w:val="22"/>
                <w:szCs w:val="22"/>
              </w:rPr>
              <w:t>/frito/omelete – 1 x na semana junto com uma carne</w:t>
            </w:r>
          </w:p>
          <w:p w:rsidR="00AF3698" w:rsidRPr="00F922CC" w:rsidRDefault="00AF3698" w:rsidP="00AF3698">
            <w:pPr>
              <w:rPr>
                <w:b/>
                <w:sz w:val="22"/>
                <w:szCs w:val="22"/>
              </w:rPr>
            </w:pP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GUARNIÇÃO COMPLEMENTAR</w:t>
            </w:r>
            <w:r w:rsidRPr="00F922CC">
              <w:rPr>
                <w:sz w:val="22"/>
                <w:szCs w:val="22"/>
              </w:rPr>
              <w:t xml:space="preserve"> (pelo menos 1 por marmita)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sz w:val="22"/>
                <w:szCs w:val="22"/>
              </w:rPr>
              <w:t>Bolinho de arroz/ bolinho de chuva/ mandioca cozida ou frita/ purê de batatas ou de mandioca/ batata inglesa em molho ou assada/ batata doce assada ou cozida/ moranga refogada ou caramelizada.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</w:p>
          <w:p w:rsidR="00AF3698" w:rsidRPr="00F922CC" w:rsidRDefault="00AF3698" w:rsidP="00AF3698">
            <w:pPr>
              <w:rPr>
                <w:b/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VEGETAIS – CRU OU COZIDOS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sz w:val="22"/>
                <w:szCs w:val="22"/>
              </w:rPr>
              <w:t>Chuchu/ cenoura/repolho / abobrinha/ vagem/ beterraba/ brócolis/ couve-flor/ couve manteiga/ rabanete/ tomate/ cebola/ pepino/berinjela, etc.</w:t>
            </w:r>
          </w:p>
          <w:p w:rsidR="00AF3698" w:rsidRPr="00F922CC" w:rsidRDefault="00AF3698" w:rsidP="00AF3698">
            <w:pPr>
              <w:rPr>
                <w:b/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SALADAS – FOLHAS</w:t>
            </w:r>
          </w:p>
          <w:p w:rsidR="00AF3698" w:rsidRPr="00F922CC" w:rsidRDefault="00AF3698" w:rsidP="00AF3698">
            <w:pPr>
              <w:rPr>
                <w:b/>
                <w:sz w:val="22"/>
                <w:szCs w:val="22"/>
              </w:rPr>
            </w:pP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sz w:val="22"/>
                <w:szCs w:val="22"/>
              </w:rPr>
              <w:t>Alface / rúcula/ radite / agrião/ almeirão/ acelga/ chicória/espinafre/ etc.</w:t>
            </w:r>
          </w:p>
          <w:p w:rsidR="00AF3698" w:rsidRDefault="00AF3698" w:rsidP="00AF3698">
            <w:pPr>
              <w:rPr>
                <w:b/>
                <w:sz w:val="22"/>
                <w:szCs w:val="22"/>
              </w:rPr>
            </w:pPr>
          </w:p>
          <w:p w:rsidR="00AF3698" w:rsidRPr="00F922CC" w:rsidRDefault="00AF3698" w:rsidP="00AF3698">
            <w:pPr>
              <w:rPr>
                <w:b/>
                <w:sz w:val="22"/>
                <w:szCs w:val="22"/>
              </w:rPr>
            </w:pPr>
            <w:r w:rsidRPr="00F922CC">
              <w:rPr>
                <w:b/>
                <w:sz w:val="22"/>
                <w:szCs w:val="22"/>
              </w:rPr>
              <w:t>SOBREMESA</w:t>
            </w:r>
          </w:p>
          <w:p w:rsidR="00AF3698" w:rsidRPr="00F922CC" w:rsidRDefault="00AF3698" w:rsidP="00AF3698">
            <w:pPr>
              <w:rPr>
                <w:sz w:val="22"/>
                <w:szCs w:val="22"/>
              </w:rPr>
            </w:pPr>
            <w:r w:rsidRPr="00F922CC">
              <w:rPr>
                <w:sz w:val="22"/>
                <w:szCs w:val="22"/>
              </w:rPr>
              <w:t>1 fruta variada.</w:t>
            </w:r>
          </w:p>
          <w:p w:rsidR="00AF3698" w:rsidRDefault="00AF3698" w:rsidP="00AF36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Vislumbra-se que tal valor é compatível com o praticado pelo mercado correspondente, observando-se o disposto no Decreto Municipal, que “Estabelece o procedimento administrativo para a realização de pesquisa </w:t>
      </w:r>
      <w:r>
        <w:rPr>
          <w:rFonts w:ascii="Times New Roman" w:hAnsi="Times New Roman"/>
          <w:sz w:val="22"/>
          <w:szCs w:val="22"/>
        </w:rPr>
        <w:lastRenderedPageBreak/>
        <w:t>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8F2DFE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6465DB" w:rsidRDefault="008F2DF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p w:rsidR="00AF3698" w:rsidRDefault="00AF369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AF3698" w:rsidRDefault="00AF369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AF3698" w:rsidRDefault="00AF369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6465DB" w:rsidTr="000C01F7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5DB" w:rsidRDefault="008F2D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6465DB" w:rsidTr="000C01F7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6465DB" w:rsidRDefault="008F2DFE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939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6465DB" w:rsidRDefault="008F2DFE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339030070000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5DB" w:rsidRDefault="008F2DFE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6465DB" w:rsidTr="000C01F7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6465DB" w:rsidRDefault="008F2DFE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2961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6465DB" w:rsidRDefault="008F2DFE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339039410000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5DB" w:rsidRDefault="008F2DFE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6465DB" w:rsidRDefault="006465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465DB" w:rsidRDefault="000C01F7" w:rsidP="000C01F7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8F2DFE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 xml:space="preserve"> de julho de 2025</w:t>
      </w:r>
    </w:p>
    <w:p w:rsidR="006465DB" w:rsidRDefault="006465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6465DB" w:rsidRDefault="006465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AF3698" w:rsidRDefault="00AF3698">
      <w:pPr>
        <w:pStyle w:val="Standard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6465DB" w:rsidRDefault="008F2DFE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0C01F7" w:rsidRDefault="000C01F7" w:rsidP="000C01F7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Sergio Juliano Franzon</w:t>
      </w:r>
    </w:p>
    <w:p w:rsidR="000C01F7" w:rsidRPr="00F922CC" w:rsidRDefault="000C01F7" w:rsidP="000C01F7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de Obras</w:t>
      </w:r>
    </w:p>
    <w:p w:rsidR="006465DB" w:rsidRDefault="006465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sectPr w:rsidR="006465DB" w:rsidSect="00C70D32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12" w:rsidRDefault="008F2DFE">
      <w:r>
        <w:separator/>
      </w:r>
    </w:p>
  </w:endnote>
  <w:endnote w:type="continuationSeparator" w:id="0">
    <w:p w:rsidR="00DD3812" w:rsidRDefault="008F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5DB" w:rsidRDefault="008F2DFE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465DB" w:rsidRDefault="008F2DFE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AF3698">
                            <w:rPr>
                              <w:rStyle w:val="Nmerodepgina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6465DB" w:rsidRDefault="008F2DFE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AF3698">
                      <w:rPr>
                        <w:rStyle w:val="Nmerodepgina"/>
                        <w:noProof/>
                        <w:sz w:val="16"/>
                      </w:rPr>
                      <w:t>3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12" w:rsidRDefault="008F2DFE">
      <w:r>
        <w:separator/>
      </w:r>
    </w:p>
  </w:footnote>
  <w:footnote w:type="continuationSeparator" w:id="0">
    <w:p w:rsidR="00DD3812" w:rsidRDefault="008F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D32" w:rsidRDefault="00C70D3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2CF2C531" wp14:editId="7883BAD8">
          <wp:simplePos x="0" y="0"/>
          <wp:positionH relativeFrom="column">
            <wp:posOffset>-5715</wp:posOffset>
          </wp:positionH>
          <wp:positionV relativeFrom="paragraph">
            <wp:posOffset>143510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0D32" w:rsidRDefault="00C70D3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C70D32" w:rsidRDefault="00C70D3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6465DB" w:rsidRDefault="008F2DFE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6465DB" w:rsidRDefault="008F2DFE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6465DB" w:rsidRDefault="006465DB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1CF8"/>
    <w:multiLevelType w:val="multilevel"/>
    <w:tmpl w:val="23888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CA0786"/>
    <w:multiLevelType w:val="hybridMultilevel"/>
    <w:tmpl w:val="B29E01D8"/>
    <w:lvl w:ilvl="0" w:tplc="61AC6D9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07519"/>
    <w:multiLevelType w:val="hybridMultilevel"/>
    <w:tmpl w:val="B29E01D8"/>
    <w:lvl w:ilvl="0" w:tplc="61AC6D9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65DB"/>
    <w:rsid w:val="000C01F7"/>
    <w:rsid w:val="006465DB"/>
    <w:rsid w:val="008F2DFE"/>
    <w:rsid w:val="00AF3698"/>
    <w:rsid w:val="00C70D32"/>
    <w:rsid w:val="00D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DEA03-22C6-4679-8A45-54D1D2D9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uiPriority w:val="34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20</cp:revision>
  <dcterms:created xsi:type="dcterms:W3CDTF">2023-06-05T10:43:00Z</dcterms:created>
  <dcterms:modified xsi:type="dcterms:W3CDTF">2025-07-25T13:15:00Z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