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3C" w:rsidRDefault="00DC663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C663C" w:rsidRPr="0092180A" w:rsidRDefault="00A24B95">
      <w:pPr>
        <w:pStyle w:val="Standard"/>
        <w:jc w:val="center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TERMO DE REFERÊNCIA</w:t>
      </w:r>
    </w:p>
    <w:p w:rsidR="00DC663C" w:rsidRPr="0092180A" w:rsidRDefault="00DC663C">
      <w:pPr>
        <w:pStyle w:val="Standard"/>
        <w:jc w:val="center"/>
        <w:rPr>
          <w:rFonts w:ascii="Times New Roman" w:hAnsi="Times New Roman"/>
        </w:rPr>
      </w:pPr>
    </w:p>
    <w:p w:rsidR="00DC663C" w:rsidRPr="0092180A" w:rsidRDefault="00A24B95">
      <w:pPr>
        <w:pStyle w:val="Standard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  <w:b/>
          <w:bCs/>
        </w:rPr>
        <w:t>PROCESSO ADMINISTRATIVO</w:t>
      </w:r>
      <w:r w:rsidRPr="0092180A">
        <w:rPr>
          <w:rFonts w:ascii="Times New Roman" w:hAnsi="Times New Roman"/>
        </w:rPr>
        <w:t xml:space="preserve"> 443/2024</w:t>
      </w:r>
    </w:p>
    <w:p w:rsidR="00DC663C" w:rsidRPr="0092180A" w:rsidRDefault="00A24B95">
      <w:pPr>
        <w:pStyle w:val="Standard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  <w:i/>
          <w:iCs/>
        </w:rPr>
        <w:t>Necessidade da Administração:</w:t>
      </w:r>
      <w:r w:rsidRPr="0092180A">
        <w:rPr>
          <w:rFonts w:ascii="Times New Roman" w:hAnsi="Times New Roman"/>
        </w:rPr>
        <w:t xml:space="preserve"> Contratação de empresa especializada para a perfuração/construção de um poço tubular de acordo com o Plano de Trabalho e o Manual</w:t>
      </w:r>
      <w:r w:rsidR="0092180A" w:rsidRPr="0092180A">
        <w:rPr>
          <w:rFonts w:ascii="Times New Roman" w:hAnsi="Times New Roman"/>
        </w:rPr>
        <w:t xml:space="preserve"> Operativo do Programa Avançar</w:t>
      </w:r>
      <w:r w:rsidRPr="0092180A">
        <w:rPr>
          <w:rFonts w:ascii="Times New Roman" w:hAnsi="Times New Roman"/>
        </w:rPr>
        <w:t xml:space="preserve"> Poços da Secretaria da Agricultura, Pecuária Produção Sustentável e Irrigação</w:t>
      </w:r>
      <w:r w:rsidR="00A00934" w:rsidRPr="00A00934">
        <w:rPr>
          <w:rFonts w:ascii="Times New Roman" w:hAnsi="Times New Roman" w:cs="Times New Roman"/>
          <w:bCs/>
        </w:rPr>
        <w:t xml:space="preserve"> </w:t>
      </w:r>
      <w:r w:rsidR="00A00934" w:rsidRPr="000D61BE">
        <w:rPr>
          <w:rFonts w:ascii="Times New Roman" w:hAnsi="Times New Roman" w:cs="Times New Roman"/>
          <w:bCs/>
        </w:rPr>
        <w:t xml:space="preserve">conforme Termo de Convênio FPE nº 1856/2023, Processo nº </w:t>
      </w:r>
      <w:r w:rsidR="00A00934" w:rsidRPr="000D61BE">
        <w:rPr>
          <w:rFonts w:ascii="Times New Roman" w:eastAsia="Arial" w:hAnsi="Times New Roman" w:cs="Times New Roman"/>
          <w:lang w:eastAsia="pt-PT" w:bidi="pt-PT"/>
        </w:rPr>
        <w:t>23/1500-0021460-2</w:t>
      </w:r>
      <w:r w:rsidR="00A00934">
        <w:rPr>
          <w:rFonts w:ascii="Times New Roman" w:eastAsia="Arial" w:hAnsi="Times New Roman" w:cs="Times New Roman"/>
          <w:lang w:eastAsia="pt-PT" w:bidi="pt-PT"/>
        </w:rPr>
        <w:t>.</w:t>
      </w:r>
    </w:p>
    <w:p w:rsidR="00DC663C" w:rsidRPr="0092180A" w:rsidRDefault="00DC663C">
      <w:pPr>
        <w:pStyle w:val="Standard"/>
        <w:jc w:val="both"/>
        <w:rPr>
          <w:rFonts w:ascii="Times New Roman" w:hAnsi="Times New Roman"/>
        </w:rPr>
      </w:pPr>
    </w:p>
    <w:p w:rsidR="00DC663C" w:rsidRPr="0092180A" w:rsidRDefault="00A24B95">
      <w:pPr>
        <w:pStyle w:val="Standard"/>
        <w:jc w:val="both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1. DEFINIÇÃO DO OBJETO</w:t>
      </w:r>
    </w:p>
    <w:p w:rsidR="00DC663C" w:rsidRPr="0092180A" w:rsidRDefault="00A24B95">
      <w:pPr>
        <w:pStyle w:val="Standard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 xml:space="preserve">O presente termo tem por objeto: </w:t>
      </w:r>
      <w:r w:rsidR="00A00934" w:rsidRPr="0092180A">
        <w:rPr>
          <w:rFonts w:ascii="Times New Roman" w:hAnsi="Times New Roman"/>
        </w:rPr>
        <w:t>Contratação de empresa especializada para a perfuração/construção de um poço tubular de acordo com o Plano de Trabalho e o Manual Operativo do Programa Avançar Poços da Secretaria da Agricultura, Pecuária Produção Sustentável e Irrigação</w:t>
      </w:r>
      <w:r w:rsidR="00A00934" w:rsidRPr="00A00934">
        <w:rPr>
          <w:rFonts w:ascii="Times New Roman" w:hAnsi="Times New Roman" w:cs="Times New Roman"/>
          <w:bCs/>
        </w:rPr>
        <w:t xml:space="preserve"> </w:t>
      </w:r>
      <w:r w:rsidR="00A00934" w:rsidRPr="000D61BE">
        <w:rPr>
          <w:rFonts w:ascii="Times New Roman" w:hAnsi="Times New Roman" w:cs="Times New Roman"/>
          <w:bCs/>
        </w:rPr>
        <w:t xml:space="preserve">conforme Termo de Convênio FPE nº 1856/2023, Processo nº </w:t>
      </w:r>
      <w:r w:rsidR="00A00934" w:rsidRPr="000D61BE">
        <w:rPr>
          <w:rFonts w:ascii="Times New Roman" w:eastAsia="Arial" w:hAnsi="Times New Roman" w:cs="Times New Roman"/>
          <w:lang w:eastAsia="pt-PT" w:bidi="pt-PT"/>
        </w:rPr>
        <w:t>23/1500-0021460-2</w:t>
      </w:r>
      <w:r w:rsidR="00A00934">
        <w:rPr>
          <w:rFonts w:ascii="Times New Roman" w:eastAsia="Arial" w:hAnsi="Times New Roman" w:cs="Times New Roman"/>
          <w:lang w:eastAsia="pt-PT" w:bidi="pt-PT"/>
        </w:rPr>
        <w:t>.</w:t>
      </w:r>
    </w:p>
    <w:p w:rsidR="00DC663C" w:rsidRPr="0092180A" w:rsidRDefault="00A24B95">
      <w:pPr>
        <w:pStyle w:val="Standard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>O presente Termo de Referência parte da Solicitação Interna nº: 443/2024.</w:t>
      </w:r>
    </w:p>
    <w:p w:rsidR="00DC663C" w:rsidRPr="0092180A" w:rsidRDefault="00DC663C">
      <w:pPr>
        <w:pStyle w:val="Standard"/>
        <w:jc w:val="both"/>
        <w:rPr>
          <w:rFonts w:ascii="Times New Roman" w:hAnsi="Times New Roman"/>
        </w:rPr>
      </w:pPr>
    </w:p>
    <w:p w:rsidR="00DC663C" w:rsidRPr="0092180A" w:rsidRDefault="00A24B95">
      <w:pPr>
        <w:pStyle w:val="Standard"/>
        <w:jc w:val="both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2. FUNDAMENTAÇÃO DA CONTRATAÇÃO</w:t>
      </w:r>
    </w:p>
    <w:p w:rsidR="00DC663C" w:rsidRPr="0092180A" w:rsidRDefault="00A24B95">
      <w:pPr>
        <w:pStyle w:val="Standard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 xml:space="preserve">Conforme o estudo realizado chegou-se a necessidade de contratação dos seguintes objetos: </w:t>
      </w:r>
    </w:p>
    <w:tbl>
      <w:tblPr>
        <w:tblW w:w="980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6"/>
        <w:gridCol w:w="2060"/>
        <w:gridCol w:w="2395"/>
      </w:tblGrid>
      <w:tr w:rsidR="00F92ECC" w:rsidRPr="0092180A" w:rsidTr="00F92ECC"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2ECC" w:rsidRPr="0092180A" w:rsidRDefault="00F92ECC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92180A">
              <w:rPr>
                <w:rFonts w:ascii="Times New Roman" w:hAnsi="Times New Roman"/>
                <w:b/>
                <w:bCs/>
              </w:rPr>
              <w:t>Descrição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2ECC" w:rsidRPr="0092180A" w:rsidRDefault="00F92ECC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Unidade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92180A" w:rsidRDefault="00F92ECC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92180A">
              <w:rPr>
                <w:rFonts w:ascii="Times New Roman" w:hAnsi="Times New Roman"/>
                <w:b/>
                <w:bCs/>
              </w:rPr>
              <w:t>Quantidade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Confecção e instalação da placa de obra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Unid.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Taxa de mobilização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Unid.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Perfuração em 12" de 0 a 20 m.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20,0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Perfuração em 6” de 20 a 130 m.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110,0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 xml:space="preserve">Tubo </w:t>
            </w:r>
            <w:proofErr w:type="spellStart"/>
            <w:r w:rsidRPr="000D61BE">
              <w:rPr>
                <w:sz w:val="24"/>
                <w:szCs w:val="24"/>
              </w:rPr>
              <w:t>geomecânico</w:t>
            </w:r>
            <w:proofErr w:type="spellEnd"/>
            <w:r w:rsidRPr="000D61BE">
              <w:rPr>
                <w:sz w:val="24"/>
                <w:szCs w:val="24"/>
              </w:rPr>
              <w:t xml:space="preserve"> 6"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20,0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 xml:space="preserve">CAP PVC </w:t>
            </w:r>
            <w:proofErr w:type="spellStart"/>
            <w:r w:rsidRPr="000D61BE">
              <w:rPr>
                <w:sz w:val="24"/>
                <w:szCs w:val="24"/>
              </w:rPr>
              <w:t>Geomecânico</w:t>
            </w:r>
            <w:proofErr w:type="spellEnd"/>
            <w:r w:rsidRPr="000D61BE">
              <w:rPr>
                <w:sz w:val="24"/>
                <w:szCs w:val="24"/>
              </w:rPr>
              <w:t xml:space="preserve"> 6"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Unid.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Laje de proteção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Unid.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Cimentação espaço anular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20,0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 xml:space="preserve">Teste de vazão 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Horas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24,0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Coleta e análise de água (padrão outorga DRH)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Unid.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proofErr w:type="spellStart"/>
            <w:r w:rsidRPr="000D61BE">
              <w:rPr>
                <w:sz w:val="24"/>
                <w:szCs w:val="24"/>
              </w:rPr>
              <w:t>Cercamento</w:t>
            </w:r>
            <w:proofErr w:type="spellEnd"/>
            <w:r w:rsidRPr="000D61BE">
              <w:rPr>
                <w:sz w:val="24"/>
                <w:szCs w:val="24"/>
              </w:rPr>
              <w:t xml:space="preserve"> de poço (2 x2 m)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M²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4,0</w:t>
            </w:r>
          </w:p>
        </w:tc>
      </w:tr>
      <w:tr w:rsidR="00F92ECC" w:rsidRPr="0092180A" w:rsidTr="00F92ECC">
        <w:tc>
          <w:tcPr>
            <w:tcW w:w="5346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Tamponamento (se necessário)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</w:t>
            </w: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F92ECC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130,0</w:t>
            </w:r>
          </w:p>
        </w:tc>
      </w:tr>
    </w:tbl>
    <w:p w:rsidR="00DC663C" w:rsidRPr="0092180A" w:rsidRDefault="00A24B95">
      <w:pPr>
        <w:pStyle w:val="Standard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>A contratação pretendida está prevista no Plano de Contratações Anual do Município de Viadutos, como</w:t>
      </w:r>
      <w:r w:rsidR="0092180A">
        <w:rPr>
          <w:rFonts w:ascii="Times New Roman" w:hAnsi="Times New Roman"/>
        </w:rPr>
        <w:t xml:space="preserve"> se vê do item n° 27</w:t>
      </w:r>
      <w:r w:rsidRPr="0092180A">
        <w:rPr>
          <w:rFonts w:ascii="Times New Roman" w:hAnsi="Times New Roman"/>
        </w:rPr>
        <w:t xml:space="preserve"> daquele documento, estando assim alinhada com o planejamento desta Administração.</w:t>
      </w:r>
    </w:p>
    <w:p w:rsidR="00DC663C" w:rsidRPr="0092180A" w:rsidRDefault="00DC663C">
      <w:pPr>
        <w:pStyle w:val="Standard"/>
        <w:jc w:val="both"/>
        <w:rPr>
          <w:rFonts w:ascii="Times New Roman" w:hAnsi="Times New Roman"/>
        </w:rPr>
      </w:pPr>
    </w:p>
    <w:p w:rsidR="00DC663C" w:rsidRPr="0092180A" w:rsidRDefault="00A24B95">
      <w:pPr>
        <w:pStyle w:val="Standard"/>
        <w:jc w:val="both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3. DESCRIÇÃO DA SOLUÇÃO COMO UM TODO</w:t>
      </w:r>
    </w:p>
    <w:p w:rsidR="00A00934" w:rsidRPr="0092180A" w:rsidRDefault="00A24B95" w:rsidP="00A00934">
      <w:pPr>
        <w:pStyle w:val="Standard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 xml:space="preserve">A solução proposta é a realização de um (a) Pregão, tendo como critério de julgamento Menor Preço, objetivando a contratação de empresa para </w:t>
      </w:r>
      <w:r w:rsidR="00A00934" w:rsidRPr="0092180A">
        <w:rPr>
          <w:rFonts w:ascii="Times New Roman" w:hAnsi="Times New Roman"/>
        </w:rPr>
        <w:t>Contratação de empresa especializada para a perfuração/construção de um poço tubular de acordo com o Plano de Trabalho e o Manual Operativo do Programa Avançar Poços da Secretaria da Agricultura, Pecuária Produção Sustentável e Irrigação</w:t>
      </w:r>
      <w:r w:rsidR="00A00934" w:rsidRPr="00A00934">
        <w:rPr>
          <w:rFonts w:ascii="Times New Roman" w:hAnsi="Times New Roman" w:cs="Times New Roman"/>
          <w:bCs/>
        </w:rPr>
        <w:t xml:space="preserve"> </w:t>
      </w:r>
      <w:r w:rsidR="00A00934" w:rsidRPr="000D61BE">
        <w:rPr>
          <w:rFonts w:ascii="Times New Roman" w:hAnsi="Times New Roman" w:cs="Times New Roman"/>
          <w:bCs/>
        </w:rPr>
        <w:t xml:space="preserve">conforme Termo de Convênio FPE nº 1856/2023, Processo nº </w:t>
      </w:r>
      <w:r w:rsidR="00A00934" w:rsidRPr="000D61BE">
        <w:rPr>
          <w:rFonts w:ascii="Times New Roman" w:eastAsia="Arial" w:hAnsi="Times New Roman" w:cs="Times New Roman"/>
          <w:lang w:eastAsia="pt-PT" w:bidi="pt-PT"/>
        </w:rPr>
        <w:t>23/1500-0021460-2</w:t>
      </w:r>
      <w:r w:rsidR="00A00934">
        <w:rPr>
          <w:rFonts w:ascii="Times New Roman" w:eastAsia="Arial" w:hAnsi="Times New Roman" w:cs="Times New Roman"/>
          <w:lang w:eastAsia="pt-PT" w:bidi="pt-PT"/>
        </w:rPr>
        <w:t>.</w:t>
      </w:r>
    </w:p>
    <w:p w:rsidR="00DC663C" w:rsidRPr="0092180A" w:rsidRDefault="00A24B95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ab/>
      </w:r>
    </w:p>
    <w:p w:rsidR="00DC663C" w:rsidRPr="0092180A" w:rsidRDefault="00A24B95">
      <w:pPr>
        <w:pStyle w:val="Standard"/>
        <w:jc w:val="both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4. REQUISITOS DA CONTRATAÇÃO</w:t>
      </w:r>
    </w:p>
    <w:p w:rsidR="00DC663C" w:rsidRPr="0092180A" w:rsidRDefault="0092180A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bens e </w:t>
      </w:r>
      <w:r w:rsidR="00A24B95" w:rsidRPr="0092180A">
        <w:rPr>
          <w:rFonts w:ascii="Times New Roman" w:hAnsi="Times New Roman"/>
        </w:rPr>
        <w:t>serviços ora licitados têm natureza de bens</w:t>
      </w:r>
      <w:r>
        <w:rPr>
          <w:rFonts w:ascii="Times New Roman" w:hAnsi="Times New Roman"/>
        </w:rPr>
        <w:t xml:space="preserve"> e </w:t>
      </w:r>
      <w:r w:rsidR="00A24B95" w:rsidRPr="0092180A">
        <w:rPr>
          <w:rFonts w:ascii="Times New Roman" w:hAnsi="Times New Roman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DC663C" w:rsidRPr="0092180A" w:rsidRDefault="00A24B95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 xml:space="preserve">A contratação será realizada por meio de Pregão, tendo como critério de julgamento Menor Preço, </w:t>
      </w:r>
      <w:r w:rsidRPr="0092180A">
        <w:rPr>
          <w:rFonts w:ascii="Times New Roman" w:hAnsi="Times New Roman"/>
        </w:rPr>
        <w:lastRenderedPageBreak/>
        <w:t>nos termos da Lei Federal nº 14.133/2021.</w:t>
      </w:r>
    </w:p>
    <w:p w:rsidR="00A00934" w:rsidRPr="0092180A" w:rsidRDefault="0092180A" w:rsidP="00A0093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fornecimento e </w:t>
      </w:r>
      <w:r w:rsidR="00A24B95" w:rsidRPr="0092180A">
        <w:rPr>
          <w:rFonts w:ascii="Times New Roman" w:hAnsi="Times New Roman"/>
        </w:rPr>
        <w:t xml:space="preserve">prestação dos serviços pretendidos os eventuais interessados deverão comprovar que atuam em ramo de atividade compatível com o objeto da licitação: </w:t>
      </w:r>
      <w:r w:rsidR="00A00934" w:rsidRPr="0092180A">
        <w:rPr>
          <w:rFonts w:ascii="Times New Roman" w:hAnsi="Times New Roman"/>
        </w:rPr>
        <w:t>Contratação de empresa especializada para a perfuração/construção de um poço tubular de acordo com o Plano de Trabalho e o Manual Operativo do Programa Avançar Poços da Secretaria da Agricultura, Pecuária Produção Sustentável e Irrigação</w:t>
      </w:r>
      <w:r w:rsidR="00A00934" w:rsidRPr="00A00934">
        <w:rPr>
          <w:rFonts w:ascii="Times New Roman" w:hAnsi="Times New Roman" w:cs="Times New Roman"/>
          <w:bCs/>
        </w:rPr>
        <w:t xml:space="preserve"> </w:t>
      </w:r>
      <w:r w:rsidR="00A00934" w:rsidRPr="000D61BE">
        <w:rPr>
          <w:rFonts w:ascii="Times New Roman" w:hAnsi="Times New Roman" w:cs="Times New Roman"/>
          <w:bCs/>
        </w:rPr>
        <w:t xml:space="preserve">conforme Termo de Convênio FPE nº 1856/2023, Processo nº </w:t>
      </w:r>
      <w:r w:rsidR="00A00934" w:rsidRPr="000D61BE">
        <w:rPr>
          <w:rFonts w:ascii="Times New Roman" w:eastAsia="Arial" w:hAnsi="Times New Roman" w:cs="Times New Roman"/>
          <w:lang w:eastAsia="pt-PT" w:bidi="pt-PT"/>
        </w:rPr>
        <w:t>23/1500-0021460-2</w:t>
      </w:r>
      <w:r w:rsidR="00A00934">
        <w:rPr>
          <w:rFonts w:ascii="Times New Roman" w:eastAsia="Arial" w:hAnsi="Times New Roman" w:cs="Times New Roman"/>
          <w:lang w:eastAsia="pt-PT" w:bidi="pt-PT"/>
        </w:rPr>
        <w:t>.</w:t>
      </w:r>
    </w:p>
    <w:p w:rsidR="00DC663C" w:rsidRPr="0092180A" w:rsidRDefault="00DC663C" w:rsidP="00A00934">
      <w:pPr>
        <w:pStyle w:val="Standard"/>
        <w:spacing w:line="276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DC663C" w:rsidRPr="0092180A" w:rsidRDefault="00A24B95">
      <w:pPr>
        <w:pStyle w:val="Standard"/>
        <w:jc w:val="both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5. MODELO DE EXECUÇÃO DO OBJETO</w:t>
      </w:r>
    </w:p>
    <w:p w:rsidR="00DC663C" w:rsidRPr="0092180A" w:rsidRDefault="0092180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produtos e </w:t>
      </w:r>
      <w:r w:rsidR="00A24B95" w:rsidRPr="0092180A">
        <w:rPr>
          <w:rFonts w:ascii="Times New Roman" w:hAnsi="Times New Roman"/>
        </w:rPr>
        <w:t>serviç</w:t>
      </w:r>
      <w:r>
        <w:rPr>
          <w:rFonts w:ascii="Times New Roman" w:hAnsi="Times New Roman"/>
        </w:rPr>
        <w:t>os deverão ser entregues e executados na Linha Floresta Interior do Município de Viadutos</w:t>
      </w:r>
      <w:r w:rsidR="008A388D">
        <w:rPr>
          <w:rFonts w:ascii="Times New Roman" w:hAnsi="Times New Roman"/>
        </w:rPr>
        <w:t>-RS.</w:t>
      </w:r>
    </w:p>
    <w:p w:rsidR="00DC663C" w:rsidRPr="0092180A" w:rsidRDefault="00DC663C">
      <w:pPr>
        <w:pStyle w:val="Standard"/>
        <w:jc w:val="both"/>
        <w:rPr>
          <w:rFonts w:ascii="Times New Roman" w:hAnsi="Times New Roman"/>
        </w:rPr>
      </w:pPr>
    </w:p>
    <w:p w:rsidR="00DC663C" w:rsidRPr="0092180A" w:rsidRDefault="00A24B95">
      <w:pPr>
        <w:pStyle w:val="Standard"/>
        <w:jc w:val="both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6. MODELO DE GESTÃO DO CONTRATO</w:t>
      </w:r>
    </w:p>
    <w:p w:rsidR="00DC663C" w:rsidRPr="0092180A" w:rsidRDefault="00A24B95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DC663C" w:rsidRPr="0092180A" w:rsidRDefault="00DC663C">
      <w:pPr>
        <w:pStyle w:val="Standard"/>
        <w:jc w:val="both"/>
        <w:rPr>
          <w:rFonts w:ascii="Times New Roman" w:hAnsi="Times New Roman"/>
        </w:rPr>
      </w:pPr>
    </w:p>
    <w:p w:rsidR="00DC663C" w:rsidRPr="0092180A" w:rsidRDefault="00A24B95">
      <w:pPr>
        <w:pStyle w:val="Standard"/>
        <w:jc w:val="both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7. CRITÉRIOS DE MEDIÇÃO E DE PAGAMENTO</w:t>
      </w:r>
    </w:p>
    <w:p w:rsidR="00DC663C" w:rsidRPr="0092180A" w:rsidRDefault="00A24B95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>O pagamento é previsto para ser efetuado 10 dias após o fornecimento dos serviços, mediante apresentação da Nota Fiscal da Empresa e após a devida conferência e consequente liqui</w:t>
      </w:r>
      <w:r w:rsidR="008A388D">
        <w:rPr>
          <w:rFonts w:ascii="Times New Roman" w:hAnsi="Times New Roman"/>
        </w:rPr>
        <w:t xml:space="preserve">dação/ateste de que os produtos e serviços foram entregues e </w:t>
      </w:r>
      <w:r w:rsidRPr="0092180A">
        <w:rPr>
          <w:rFonts w:ascii="Times New Roman" w:hAnsi="Times New Roman"/>
        </w:rPr>
        <w:t>prestados de forma adequada.</w:t>
      </w:r>
    </w:p>
    <w:p w:rsidR="00DC663C" w:rsidRPr="0092180A" w:rsidRDefault="00DC663C">
      <w:pPr>
        <w:pStyle w:val="Standard"/>
        <w:jc w:val="both"/>
        <w:rPr>
          <w:rFonts w:ascii="Times New Roman" w:hAnsi="Times New Roman"/>
        </w:rPr>
      </w:pPr>
    </w:p>
    <w:p w:rsidR="00DC663C" w:rsidRPr="0092180A" w:rsidRDefault="00A24B95">
      <w:pPr>
        <w:pStyle w:val="Standard"/>
        <w:jc w:val="both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8. FORMA E CRITÉRIOS DE SELEÇÃO DO FORNECEDOR/PRESTADOR DE SERVIÇO</w:t>
      </w:r>
    </w:p>
    <w:p w:rsidR="00DC663C" w:rsidRPr="0092180A" w:rsidRDefault="00A24B95">
      <w:pPr>
        <w:pStyle w:val="Standard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>Conforme disposto no item 4, o futuro contratado será selecionado mediante processo de Pregão.</w:t>
      </w:r>
    </w:p>
    <w:p w:rsidR="00DC663C" w:rsidRPr="0092180A" w:rsidRDefault="00DC663C">
      <w:pPr>
        <w:pStyle w:val="Standard"/>
        <w:jc w:val="both"/>
        <w:rPr>
          <w:rFonts w:ascii="Times New Roman" w:hAnsi="Times New Roman"/>
        </w:rPr>
      </w:pPr>
    </w:p>
    <w:p w:rsidR="00DC663C" w:rsidRPr="0092180A" w:rsidRDefault="00A24B95">
      <w:pPr>
        <w:pStyle w:val="Standard"/>
        <w:jc w:val="both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9. ESTIMATIVA DO VALOR DA CONTRATAÇÃO</w:t>
      </w:r>
    </w:p>
    <w:p w:rsidR="00DC663C" w:rsidRPr="0092180A" w:rsidRDefault="00A24B95">
      <w:pPr>
        <w:pStyle w:val="Standard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>Estima-se para a contratação almejada o valor conforme descrito abaixo: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561"/>
        <w:gridCol w:w="3551"/>
        <w:gridCol w:w="924"/>
        <w:gridCol w:w="1217"/>
        <w:gridCol w:w="1291"/>
        <w:gridCol w:w="1553"/>
      </w:tblGrid>
      <w:tr w:rsidR="00F92ECC" w:rsidRPr="000D61BE" w:rsidTr="00D27F60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Lote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Item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Descrição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Unidade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Quantidade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Unitário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Total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Confecção e instalação da placa de obra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Unid.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R$ 1.600,00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1.600,00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Taxa de mobilização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Unid.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1.300,00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1.300,00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Perfuração em 12" de 0 a 20 m.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20,0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125,00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2.500,00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Perfuração em 6” de 20 a 130 m.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110,0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115,00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12.650,00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 xml:space="preserve">Tubo </w:t>
            </w:r>
            <w:proofErr w:type="spellStart"/>
            <w:r w:rsidRPr="000D61BE">
              <w:rPr>
                <w:sz w:val="24"/>
                <w:szCs w:val="24"/>
              </w:rPr>
              <w:t>geomecânico</w:t>
            </w:r>
            <w:proofErr w:type="spellEnd"/>
            <w:r w:rsidRPr="000D61BE">
              <w:rPr>
                <w:sz w:val="24"/>
                <w:szCs w:val="24"/>
              </w:rPr>
              <w:t xml:space="preserve"> 6"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20,0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300,00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6.000,00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 xml:space="preserve">CAP PVC </w:t>
            </w:r>
            <w:proofErr w:type="spellStart"/>
            <w:r w:rsidRPr="000D61BE">
              <w:rPr>
                <w:sz w:val="24"/>
                <w:szCs w:val="24"/>
              </w:rPr>
              <w:t>Geomecânico</w:t>
            </w:r>
            <w:proofErr w:type="spellEnd"/>
            <w:r w:rsidRPr="000D61BE">
              <w:rPr>
                <w:sz w:val="24"/>
                <w:szCs w:val="24"/>
              </w:rPr>
              <w:t xml:space="preserve"> 6"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Unid.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120,00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120,00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7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Laje de proteção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Unid.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240,00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240,00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8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Cimentação espaço anular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20,0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35,00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700,00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9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 xml:space="preserve">Teste de vazão 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Horas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24,0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120,00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2.880,00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10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Coleta e análise de água (padrão outorga DRH)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Unid.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1.200,00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1.200,00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11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proofErr w:type="spellStart"/>
            <w:r w:rsidRPr="000D61BE">
              <w:rPr>
                <w:sz w:val="24"/>
                <w:szCs w:val="24"/>
              </w:rPr>
              <w:t>Cercamento</w:t>
            </w:r>
            <w:proofErr w:type="spellEnd"/>
            <w:r w:rsidRPr="000D61BE">
              <w:rPr>
                <w:sz w:val="24"/>
                <w:szCs w:val="24"/>
              </w:rPr>
              <w:t xml:space="preserve"> de poço (2 x2 m)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M²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4,0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500,00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2.000,00</w:t>
            </w:r>
          </w:p>
        </w:tc>
      </w:tr>
      <w:tr w:rsidR="00F92ECC" w:rsidRPr="000D61BE" w:rsidTr="00D27F60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12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Tamponamento (se necessário)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M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  <w:r w:rsidRPr="000D61BE">
              <w:rPr>
                <w:sz w:val="24"/>
                <w:szCs w:val="24"/>
              </w:rPr>
              <w:t>130,0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12,00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Pr="000D61BE">
              <w:rPr>
                <w:sz w:val="24"/>
                <w:szCs w:val="24"/>
              </w:rPr>
              <w:t>1.560,00</w:t>
            </w:r>
          </w:p>
        </w:tc>
      </w:tr>
      <w:tr w:rsidR="00F92ECC" w:rsidRPr="000D61BE" w:rsidTr="00A24B95">
        <w:tc>
          <w:tcPr>
            <w:tcW w:w="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92ECC" w:rsidRPr="000D61BE" w:rsidRDefault="00F92ECC" w:rsidP="00D27F60">
            <w:pPr>
              <w:pStyle w:val="Contedodatabela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92ECC" w:rsidRPr="00053753" w:rsidRDefault="00F92ECC" w:rsidP="00D27F60">
            <w:pPr>
              <w:pStyle w:val="Contedodatabela"/>
              <w:jc w:val="right"/>
              <w:rPr>
                <w:b/>
                <w:sz w:val="24"/>
                <w:szCs w:val="24"/>
              </w:rPr>
            </w:pPr>
            <w:r w:rsidRPr="0005375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ECC" w:rsidRPr="00053753" w:rsidRDefault="00F92ECC" w:rsidP="00D27F60">
            <w:pPr>
              <w:pStyle w:val="Contedodatabela"/>
              <w:jc w:val="right"/>
              <w:rPr>
                <w:b/>
                <w:sz w:val="24"/>
                <w:szCs w:val="24"/>
              </w:rPr>
            </w:pPr>
            <w:r w:rsidRPr="00053753">
              <w:rPr>
                <w:b/>
                <w:sz w:val="24"/>
                <w:szCs w:val="24"/>
              </w:rPr>
              <w:t>R$</w:t>
            </w:r>
            <w:r w:rsidR="00053753" w:rsidRPr="00053753">
              <w:rPr>
                <w:b/>
                <w:sz w:val="24"/>
                <w:szCs w:val="24"/>
              </w:rPr>
              <w:t xml:space="preserve"> 32.750,00</w:t>
            </w:r>
            <w:r w:rsidRPr="0005375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C663C" w:rsidRPr="0092180A" w:rsidRDefault="00DC663C">
      <w:pPr>
        <w:pStyle w:val="Standard"/>
        <w:jc w:val="both"/>
        <w:rPr>
          <w:rFonts w:ascii="Times New Roman" w:hAnsi="Times New Roman"/>
        </w:rPr>
      </w:pPr>
    </w:p>
    <w:p w:rsidR="00DC663C" w:rsidRPr="0092180A" w:rsidRDefault="00A24B95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DC663C" w:rsidRPr="0092180A" w:rsidRDefault="00DC663C">
      <w:pPr>
        <w:pStyle w:val="Standard"/>
        <w:jc w:val="both"/>
        <w:rPr>
          <w:rFonts w:ascii="Times New Roman" w:hAnsi="Times New Roman"/>
        </w:rPr>
      </w:pPr>
    </w:p>
    <w:p w:rsidR="00DC663C" w:rsidRPr="0092180A" w:rsidRDefault="00A24B95">
      <w:pPr>
        <w:pStyle w:val="Standard"/>
        <w:jc w:val="both"/>
        <w:rPr>
          <w:rFonts w:ascii="Times New Roman" w:hAnsi="Times New Roman"/>
          <w:b/>
          <w:bCs/>
        </w:rPr>
      </w:pPr>
      <w:r w:rsidRPr="0092180A">
        <w:rPr>
          <w:rFonts w:ascii="Times New Roman" w:hAnsi="Times New Roman"/>
          <w:b/>
          <w:bCs/>
        </w:rPr>
        <w:t>10. ADEQUAÇÃO ORÇAMENTÁRIA</w:t>
      </w:r>
    </w:p>
    <w:p w:rsidR="00DC663C" w:rsidRPr="0092180A" w:rsidRDefault="00A24B95">
      <w:pPr>
        <w:pStyle w:val="Standard"/>
        <w:jc w:val="both"/>
        <w:rPr>
          <w:rFonts w:ascii="Times New Roman" w:hAnsi="Times New Roman"/>
        </w:rPr>
      </w:pPr>
      <w:r w:rsidRPr="0092180A">
        <w:rPr>
          <w:rFonts w:ascii="Times New Roman" w:hAnsi="Times New Roman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DC663C" w:rsidRPr="0092180A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663C" w:rsidRPr="0092180A" w:rsidRDefault="00A24B95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92180A">
              <w:rPr>
                <w:rFonts w:ascii="Times New Roman" w:hAnsi="Times New Roman"/>
                <w:b/>
                <w:bCs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663C" w:rsidRPr="0092180A" w:rsidRDefault="00A24B95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92180A">
              <w:rPr>
                <w:rFonts w:ascii="Times New Roman" w:hAnsi="Times New Roman"/>
                <w:b/>
                <w:bCs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63C" w:rsidRPr="0092180A" w:rsidRDefault="00A24B95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92180A">
              <w:rPr>
                <w:rFonts w:ascii="Times New Roman" w:hAnsi="Times New Roman"/>
                <w:b/>
                <w:bCs/>
              </w:rPr>
              <w:t>Recurso</w:t>
            </w:r>
          </w:p>
        </w:tc>
      </w:tr>
      <w:tr w:rsidR="00DC663C" w:rsidRPr="0092180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C663C" w:rsidRPr="0092180A" w:rsidRDefault="00A24B95">
            <w:pPr>
              <w:pStyle w:val="Standard"/>
              <w:jc w:val="both"/>
              <w:rPr>
                <w:rFonts w:ascii="Times New Roman" w:hAnsi="Times New Roman"/>
              </w:rPr>
            </w:pPr>
            <w:r w:rsidRPr="0092180A">
              <w:rPr>
                <w:rFonts w:ascii="Times New Roman" w:hAnsi="Times New Roman"/>
              </w:rPr>
              <w:t>2968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C663C" w:rsidRPr="0092180A" w:rsidRDefault="00A24B95">
            <w:pPr>
              <w:pStyle w:val="Standard"/>
              <w:jc w:val="both"/>
              <w:rPr>
                <w:rFonts w:ascii="Times New Roman" w:hAnsi="Times New Roman"/>
              </w:rPr>
            </w:pPr>
            <w:r w:rsidRPr="0092180A">
              <w:rPr>
                <w:rFonts w:ascii="Times New Roman" w:hAnsi="Times New Roman"/>
              </w:rPr>
              <w:t>449051995900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663C" w:rsidRPr="0092180A" w:rsidRDefault="00A24B95">
            <w:pPr>
              <w:pStyle w:val="Standard"/>
              <w:jc w:val="both"/>
              <w:rPr>
                <w:rFonts w:ascii="Times New Roman" w:hAnsi="Times New Roman"/>
              </w:rPr>
            </w:pPr>
            <w:r w:rsidRPr="0092180A">
              <w:rPr>
                <w:rFonts w:ascii="Times New Roman" w:hAnsi="Times New Roman"/>
              </w:rPr>
              <w:t>1500</w:t>
            </w:r>
          </w:p>
        </w:tc>
      </w:tr>
    </w:tbl>
    <w:p w:rsidR="00DC663C" w:rsidRPr="0092180A" w:rsidRDefault="00DC663C">
      <w:pPr>
        <w:pStyle w:val="Standard"/>
        <w:jc w:val="both"/>
        <w:rPr>
          <w:rFonts w:ascii="Times New Roman" w:hAnsi="Times New Roman"/>
        </w:rPr>
      </w:pPr>
    </w:p>
    <w:p w:rsidR="00DC663C" w:rsidRPr="0092180A" w:rsidRDefault="00DC663C">
      <w:pPr>
        <w:pStyle w:val="Standard"/>
        <w:jc w:val="center"/>
        <w:rPr>
          <w:rFonts w:ascii="Times New Roman" w:hAnsi="Times New Roman"/>
        </w:rPr>
      </w:pPr>
    </w:p>
    <w:p w:rsidR="00DC663C" w:rsidRPr="0092180A" w:rsidRDefault="00DC663C">
      <w:pPr>
        <w:pStyle w:val="Standard"/>
        <w:jc w:val="center"/>
        <w:rPr>
          <w:rFonts w:ascii="Times New Roman" w:hAnsi="Times New Roman"/>
        </w:rPr>
      </w:pPr>
    </w:p>
    <w:p w:rsidR="00DC663C" w:rsidRPr="0092180A" w:rsidRDefault="0092180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Viadutos – RS, </w:t>
      </w:r>
      <w:r w:rsidR="00A24B95" w:rsidRPr="0092180A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agosto 20</w:t>
      </w:r>
      <w:r w:rsidR="00A24B95" w:rsidRPr="0092180A">
        <w:rPr>
          <w:rFonts w:ascii="Times New Roman" w:hAnsi="Times New Roman"/>
        </w:rPr>
        <w:t>24</w:t>
      </w:r>
    </w:p>
    <w:p w:rsidR="00DC663C" w:rsidRPr="0092180A" w:rsidRDefault="00DC663C">
      <w:pPr>
        <w:pStyle w:val="Standard"/>
        <w:jc w:val="center"/>
        <w:rPr>
          <w:rFonts w:ascii="Times New Roman" w:hAnsi="Times New Roman"/>
        </w:rPr>
      </w:pPr>
    </w:p>
    <w:p w:rsidR="00DC663C" w:rsidRPr="0092180A" w:rsidRDefault="00DC663C">
      <w:pPr>
        <w:pStyle w:val="Standard"/>
        <w:jc w:val="center"/>
        <w:rPr>
          <w:rFonts w:ascii="Times New Roman" w:hAnsi="Times New Roman"/>
        </w:rPr>
      </w:pPr>
    </w:p>
    <w:p w:rsidR="00DC663C" w:rsidRPr="0092180A" w:rsidRDefault="00A24B95">
      <w:pPr>
        <w:pStyle w:val="Standard"/>
        <w:jc w:val="center"/>
        <w:rPr>
          <w:rFonts w:ascii="Times New Roman" w:hAnsi="Times New Roman"/>
        </w:rPr>
      </w:pPr>
      <w:r w:rsidRPr="0092180A">
        <w:rPr>
          <w:rFonts w:ascii="Times New Roman" w:hAnsi="Times New Roman"/>
        </w:rPr>
        <w:t>_____________________________</w:t>
      </w:r>
    </w:p>
    <w:p w:rsidR="00DC663C" w:rsidRPr="0092180A" w:rsidRDefault="00A24B9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José </w:t>
      </w:r>
      <w:proofErr w:type="spellStart"/>
      <w:r>
        <w:rPr>
          <w:rFonts w:ascii="Times New Roman" w:hAnsi="Times New Roman"/>
        </w:rPr>
        <w:t>Peracchi</w:t>
      </w:r>
      <w:proofErr w:type="spellEnd"/>
    </w:p>
    <w:p w:rsidR="00DC663C" w:rsidRPr="0092180A" w:rsidRDefault="00DC663C">
      <w:pPr>
        <w:pStyle w:val="Standard"/>
        <w:jc w:val="center"/>
        <w:rPr>
          <w:rFonts w:ascii="Times New Roman" w:hAnsi="Times New Roman"/>
        </w:rPr>
      </w:pPr>
    </w:p>
    <w:sectPr w:rsidR="00DC663C" w:rsidRPr="0092180A" w:rsidSect="008A388D">
      <w:headerReference w:type="default" r:id="rId8"/>
      <w:footerReference w:type="default" r:id="rId9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53" w:rsidRDefault="00A24B95">
      <w:r>
        <w:separator/>
      </w:r>
    </w:p>
  </w:endnote>
  <w:endnote w:type="continuationSeparator" w:id="0">
    <w:p w:rsidR="00A17553" w:rsidRDefault="00A2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3C" w:rsidRDefault="00A24B95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C663C" w:rsidRDefault="00A24B9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A00934"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DC663C" w:rsidRDefault="00A24B95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A00934"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53" w:rsidRDefault="00A24B95">
      <w:r>
        <w:separator/>
      </w:r>
    </w:p>
  </w:footnote>
  <w:footnote w:type="continuationSeparator" w:id="0">
    <w:p w:rsidR="00A17553" w:rsidRDefault="00A24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3C" w:rsidRDefault="00A24B9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DC663C" w:rsidRDefault="00A24B9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DC663C" w:rsidRDefault="00DC663C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DC663C" w:rsidRDefault="00DC663C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55D0C"/>
    <w:multiLevelType w:val="multilevel"/>
    <w:tmpl w:val="BC545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663C"/>
    <w:rsid w:val="00053753"/>
    <w:rsid w:val="007C14E3"/>
    <w:rsid w:val="008A388D"/>
    <w:rsid w:val="0092180A"/>
    <w:rsid w:val="00A00934"/>
    <w:rsid w:val="00A17553"/>
    <w:rsid w:val="00A24B95"/>
    <w:rsid w:val="00DC663C"/>
    <w:rsid w:val="00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ECED5-D99D-4AF0-A3CB-2E6F837D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B63F-B610-4203-ACB1-28F81AA2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18</cp:revision>
  <dcterms:created xsi:type="dcterms:W3CDTF">2023-06-05T10:43:00Z</dcterms:created>
  <dcterms:modified xsi:type="dcterms:W3CDTF">2024-08-21T12:58:00Z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